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AEA8C" w14:textId="77777777" w:rsidR="002318A6" w:rsidRPr="004916A3" w:rsidRDefault="00173D16" w:rsidP="00173D16">
      <w:pPr>
        <w:jc w:val="right"/>
        <w:rPr>
          <w:szCs w:val="22"/>
        </w:rPr>
      </w:pPr>
      <w:r w:rsidRPr="004916A3">
        <w:rPr>
          <w:szCs w:val="22"/>
        </w:rPr>
        <w:t xml:space="preserve">Jens </w:t>
      </w:r>
      <w:proofErr w:type="spellStart"/>
      <w:r w:rsidRPr="004916A3">
        <w:rPr>
          <w:szCs w:val="22"/>
        </w:rPr>
        <w:t>Asthoff</w:t>
      </w:r>
      <w:proofErr w:type="spellEnd"/>
    </w:p>
    <w:p w14:paraId="3C34DB0B" w14:textId="77777777" w:rsidR="00173D16" w:rsidRPr="004916A3" w:rsidRDefault="00173D16">
      <w:pPr>
        <w:rPr>
          <w:szCs w:val="22"/>
        </w:rPr>
      </w:pPr>
      <w:bookmarkStart w:id="0" w:name="_GoBack"/>
      <w:bookmarkEnd w:id="0"/>
    </w:p>
    <w:p w14:paraId="52C41B33" w14:textId="77777777" w:rsidR="00173D16" w:rsidRPr="004916A3" w:rsidRDefault="00173D16">
      <w:pPr>
        <w:rPr>
          <w:szCs w:val="22"/>
        </w:rPr>
      </w:pPr>
    </w:p>
    <w:p w14:paraId="48544413" w14:textId="77777777" w:rsidR="00173D16" w:rsidRPr="004916A3" w:rsidRDefault="00173D16" w:rsidP="00173D16">
      <w:pPr>
        <w:jc w:val="center"/>
        <w:rPr>
          <w:sz w:val="36"/>
          <w:szCs w:val="36"/>
        </w:rPr>
      </w:pPr>
      <w:r w:rsidRPr="004916A3">
        <w:rPr>
          <w:sz w:val="36"/>
          <w:szCs w:val="36"/>
        </w:rPr>
        <w:t>Du jeu dans la double contrainte</w:t>
      </w:r>
    </w:p>
    <w:p w14:paraId="63C470DB" w14:textId="77777777" w:rsidR="00173D16" w:rsidRPr="004916A3" w:rsidRDefault="00173D16">
      <w:pPr>
        <w:rPr>
          <w:szCs w:val="22"/>
        </w:rPr>
      </w:pPr>
    </w:p>
    <w:p w14:paraId="022A673E" w14:textId="77777777" w:rsidR="002318A6" w:rsidRPr="004916A3" w:rsidRDefault="002318A6">
      <w:pPr>
        <w:rPr>
          <w:szCs w:val="22"/>
        </w:rPr>
      </w:pPr>
    </w:p>
    <w:p w14:paraId="2FC7554B" w14:textId="77777777" w:rsidR="00173D16" w:rsidRPr="004916A3" w:rsidRDefault="002318A6" w:rsidP="002318A6">
      <w:pPr>
        <w:jc w:val="center"/>
        <w:rPr>
          <w:sz w:val="28"/>
          <w:szCs w:val="28"/>
        </w:rPr>
      </w:pPr>
      <w:r w:rsidRPr="004916A3">
        <w:rPr>
          <w:sz w:val="28"/>
          <w:szCs w:val="28"/>
        </w:rPr>
        <w:t xml:space="preserve">Sur la peinture de Bernard </w:t>
      </w:r>
      <w:proofErr w:type="spellStart"/>
      <w:r w:rsidRPr="004916A3">
        <w:rPr>
          <w:sz w:val="28"/>
          <w:szCs w:val="28"/>
        </w:rPr>
        <w:t>Piffaretti</w:t>
      </w:r>
      <w:proofErr w:type="spellEnd"/>
    </w:p>
    <w:p w14:paraId="0D1FF8B1" w14:textId="77777777" w:rsidR="002318A6" w:rsidRPr="004916A3" w:rsidRDefault="002318A6">
      <w:pPr>
        <w:rPr>
          <w:szCs w:val="22"/>
        </w:rPr>
      </w:pPr>
    </w:p>
    <w:p w14:paraId="1E944BA3" w14:textId="77777777" w:rsidR="002318A6" w:rsidRPr="004916A3" w:rsidRDefault="002318A6">
      <w:pPr>
        <w:rPr>
          <w:szCs w:val="22"/>
        </w:rPr>
      </w:pPr>
    </w:p>
    <w:p w14:paraId="3A265B92" w14:textId="5D679CFD" w:rsidR="00173D16" w:rsidRPr="004916A3" w:rsidRDefault="002318A6" w:rsidP="00173D16">
      <w:pPr>
        <w:ind w:firstLine="0"/>
        <w:rPr>
          <w:szCs w:val="22"/>
        </w:rPr>
      </w:pPr>
      <w:r w:rsidRPr="004916A3">
        <w:rPr>
          <w:szCs w:val="22"/>
        </w:rPr>
        <w:t>Au milieu des années 1980</w:t>
      </w:r>
      <w:r w:rsidR="00DE6031" w:rsidRPr="004916A3">
        <w:rPr>
          <w:rStyle w:val="Appelnotedebasdep"/>
          <w:szCs w:val="22"/>
        </w:rPr>
        <w:footnoteReference w:id="1"/>
      </w:r>
      <w:r w:rsidRPr="004916A3">
        <w:rPr>
          <w:szCs w:val="22"/>
        </w:rPr>
        <w:t xml:space="preserve">, Bernard </w:t>
      </w:r>
      <w:proofErr w:type="spellStart"/>
      <w:r w:rsidRPr="004916A3">
        <w:rPr>
          <w:szCs w:val="22"/>
        </w:rPr>
        <w:t>Piffaretti</w:t>
      </w:r>
      <w:proofErr w:type="spellEnd"/>
      <w:r w:rsidRPr="004916A3">
        <w:rPr>
          <w:szCs w:val="22"/>
        </w:rPr>
        <w:t xml:space="preserve"> prend une décision qui sera déterminante pour sa peinture : il peindra désormais chaque tableau deux fois, il se répétera de façon démonstrative sur chacune de ses toiles. Depuis, il a suivi ce principe avec rigueur et développé ce faisant une œuvre originale, aussi discontinue que multiple. Une œuvre qui, comme il le dit lui-même, ne connaît plus aucune chronologie</w:t>
      </w:r>
      <w:r w:rsidRPr="004916A3">
        <w:rPr>
          <w:rStyle w:val="Appelnotedebasdep"/>
          <w:szCs w:val="22"/>
        </w:rPr>
        <w:footnoteReference w:id="2"/>
      </w:r>
      <w:r w:rsidRPr="004916A3">
        <w:rPr>
          <w:szCs w:val="22"/>
        </w:rPr>
        <w:t xml:space="preserve"> et dans laquelle ce n’est pas selon les années et les décennies, mais d’un tableau à l’autre que tout peut changer en matière de style – et change d’ailleurs effectivement. Tandis que sa peinture se déploie selon le paradigme cons</w:t>
      </w:r>
      <w:r w:rsidR="003C072B" w:rsidRPr="004916A3">
        <w:rPr>
          <w:szCs w:val="22"/>
        </w:rPr>
        <w:t xml:space="preserve">tant de la répétition, </w:t>
      </w:r>
      <w:r w:rsidR="00A57FB6" w:rsidRPr="004916A3">
        <w:rPr>
          <w:szCs w:val="22"/>
        </w:rPr>
        <w:t>à travers</w:t>
      </w:r>
      <w:r w:rsidR="003C072B" w:rsidRPr="004916A3">
        <w:rPr>
          <w:szCs w:val="22"/>
        </w:rPr>
        <w:t xml:space="preserve"> l’acte d’une </w:t>
      </w:r>
      <w:r w:rsidRPr="004916A3">
        <w:rPr>
          <w:szCs w:val="22"/>
        </w:rPr>
        <w:t xml:space="preserve">appropriation redoublée </w:t>
      </w:r>
      <w:r w:rsidR="003C072B" w:rsidRPr="004916A3">
        <w:rPr>
          <w:szCs w:val="22"/>
        </w:rPr>
        <w:t>de quelque</w:t>
      </w:r>
      <w:r w:rsidRPr="004916A3">
        <w:rPr>
          <w:szCs w:val="22"/>
        </w:rPr>
        <w:t xml:space="preserve"> chose qui lui appartient déjà en propre</w:t>
      </w:r>
      <w:r w:rsidR="003C072B" w:rsidRPr="004916A3">
        <w:rPr>
          <w:szCs w:val="22"/>
        </w:rPr>
        <w:t xml:space="preserve">, cette astuce transforme du même coup le tableau en scène contextuelle, met pour ainsi dire les « contenus » picturaux entre parenthèses et </w:t>
      </w:r>
      <w:r w:rsidR="00A57FB6" w:rsidRPr="004916A3">
        <w:rPr>
          <w:szCs w:val="22"/>
        </w:rPr>
        <w:t>offre</w:t>
      </w:r>
      <w:r w:rsidR="003C072B" w:rsidRPr="004916A3">
        <w:rPr>
          <w:szCs w:val="22"/>
        </w:rPr>
        <w:t xml:space="preserve"> ainsi à la peinture un champ d’expérimentation artistique ouverte.</w:t>
      </w:r>
    </w:p>
    <w:p w14:paraId="6C703AC3" w14:textId="5769879B" w:rsidR="00024A0D" w:rsidRPr="004916A3" w:rsidRDefault="003C072B">
      <w:pPr>
        <w:rPr>
          <w:szCs w:val="22"/>
          <w:lang w:eastAsia="ar-SA"/>
        </w:rPr>
      </w:pPr>
      <w:r w:rsidRPr="004916A3">
        <w:rPr>
          <w:szCs w:val="22"/>
          <w:lang w:eastAsia="ar-SA"/>
        </w:rPr>
        <w:lastRenderedPageBreak/>
        <w:t xml:space="preserve">La démarche de </w:t>
      </w:r>
      <w:proofErr w:type="spellStart"/>
      <w:r w:rsidRPr="004916A3">
        <w:rPr>
          <w:szCs w:val="22"/>
          <w:lang w:eastAsia="ar-SA"/>
        </w:rPr>
        <w:t>Piffaretti</w:t>
      </w:r>
      <w:proofErr w:type="spellEnd"/>
      <w:r w:rsidRPr="004916A3">
        <w:rPr>
          <w:szCs w:val="22"/>
          <w:lang w:eastAsia="ar-SA"/>
        </w:rPr>
        <w:t xml:space="preserve"> se fonde sur la conjugaison de la discontinuité et de la répétition : </w:t>
      </w:r>
      <w:r w:rsidR="00714C81" w:rsidRPr="004916A3">
        <w:rPr>
          <w:szCs w:val="22"/>
          <w:lang w:eastAsia="ar-SA"/>
        </w:rPr>
        <w:t xml:space="preserve">encore et sans fin, il confronte, dédouble, consolide et déstabilise à la fois ses tableaux par le double qu’il leur adjoint. Le tableau peint sur la moitié gauche de la toile est exécuté une seconde fois sur la droite – </w:t>
      </w:r>
      <w:r w:rsidR="00024A0D" w:rsidRPr="004916A3">
        <w:rPr>
          <w:szCs w:val="22"/>
          <w:lang w:eastAsia="ar-SA"/>
        </w:rPr>
        <w:t xml:space="preserve">d’une main assurée, rapide – et </w:t>
      </w:r>
      <w:r w:rsidR="00A57FB6" w:rsidRPr="004916A3">
        <w:rPr>
          <w:szCs w:val="22"/>
          <w:lang w:eastAsia="ar-SA"/>
        </w:rPr>
        <w:t>à travers</w:t>
      </w:r>
      <w:r w:rsidR="00024A0D" w:rsidRPr="004916A3">
        <w:rPr>
          <w:szCs w:val="22"/>
          <w:lang w:eastAsia="ar-SA"/>
        </w:rPr>
        <w:t xml:space="preserve"> cette transposition, de minuscules écarts s’introduisent, à titre de différence processuelle, dans la configuration du tableau. Il y a toujours, au milieu de la toile, une fine bande verticale entre les deux sphères – tracée elle-même en couleur et faisant partie de la peinture, elle sépare et relie les deux parties du tableau com</w:t>
      </w:r>
      <w:r w:rsidR="00A53715" w:rsidRPr="004916A3">
        <w:rPr>
          <w:szCs w:val="22"/>
          <w:lang w:eastAsia="ar-SA"/>
        </w:rPr>
        <w:t>m</w:t>
      </w:r>
      <w:r w:rsidR="00024A0D" w:rsidRPr="004916A3">
        <w:rPr>
          <w:szCs w:val="22"/>
          <w:lang w:eastAsia="ar-SA"/>
        </w:rPr>
        <w:t xml:space="preserve">e un </w:t>
      </w:r>
      <w:r w:rsidR="00024A0D" w:rsidRPr="004916A3">
        <w:rPr>
          <w:i/>
          <w:szCs w:val="22"/>
          <w:lang w:eastAsia="ar-SA"/>
        </w:rPr>
        <w:t>zip</w:t>
      </w:r>
      <w:r w:rsidR="00024A0D" w:rsidRPr="004916A3">
        <w:rPr>
          <w:szCs w:val="22"/>
          <w:lang w:eastAsia="ar-SA"/>
        </w:rPr>
        <w:t xml:space="preserve"> </w:t>
      </w:r>
      <w:proofErr w:type="spellStart"/>
      <w:r w:rsidR="00024A0D" w:rsidRPr="004916A3">
        <w:rPr>
          <w:szCs w:val="22"/>
          <w:lang w:eastAsia="ar-SA"/>
        </w:rPr>
        <w:t>newmanien</w:t>
      </w:r>
      <w:proofErr w:type="spellEnd"/>
      <w:r w:rsidR="00024A0D" w:rsidRPr="004916A3">
        <w:rPr>
          <w:szCs w:val="22"/>
          <w:lang w:eastAsia="ar-SA"/>
        </w:rPr>
        <w:t xml:space="preserve"> : elle est la zone neutre, c’est là que se condense ce facteur de « différence et répétition » que </w:t>
      </w:r>
      <w:proofErr w:type="spellStart"/>
      <w:r w:rsidR="00024A0D" w:rsidRPr="004916A3">
        <w:rPr>
          <w:szCs w:val="22"/>
          <w:lang w:eastAsia="ar-SA"/>
        </w:rPr>
        <w:t>Piffaretti</w:t>
      </w:r>
      <w:proofErr w:type="spellEnd"/>
      <w:r w:rsidR="00024A0D" w:rsidRPr="004916A3">
        <w:rPr>
          <w:szCs w:val="22"/>
          <w:lang w:eastAsia="ar-SA"/>
        </w:rPr>
        <w:t xml:space="preserve"> ne cesse de </w:t>
      </w:r>
      <w:r w:rsidR="00A57FB6" w:rsidRPr="004916A3">
        <w:rPr>
          <w:szCs w:val="22"/>
          <w:lang w:eastAsia="ar-SA"/>
        </w:rPr>
        <w:t>mettre à l’épreuve</w:t>
      </w:r>
      <w:r w:rsidR="00024A0D" w:rsidRPr="004916A3">
        <w:rPr>
          <w:szCs w:val="22"/>
          <w:lang w:eastAsia="ar-SA"/>
        </w:rPr>
        <w:t>, d’explorer et de recréer à chaque fois, dans une fascinante multiplicité.</w:t>
      </w:r>
    </w:p>
    <w:p w14:paraId="6C93C215" w14:textId="6BD663CB" w:rsidR="003C072B" w:rsidRPr="004916A3" w:rsidRDefault="00A53715">
      <w:pPr>
        <w:rPr>
          <w:szCs w:val="22"/>
          <w:lang w:eastAsia="ar-SA"/>
        </w:rPr>
      </w:pPr>
      <w:r w:rsidRPr="004916A3">
        <w:rPr>
          <w:szCs w:val="22"/>
          <w:lang w:eastAsia="ar-SA"/>
        </w:rPr>
        <w:t>En termes de structure, c’est le même et encore le même que l’on voit donc s’accomplir ici,</w:t>
      </w:r>
      <w:r w:rsidR="00736B0D" w:rsidRPr="004916A3">
        <w:rPr>
          <w:szCs w:val="22"/>
          <w:lang w:eastAsia="ar-SA"/>
        </w:rPr>
        <w:t xml:space="preserve"> </w:t>
      </w:r>
      <w:r w:rsidR="00001E69" w:rsidRPr="004916A3">
        <w:rPr>
          <w:szCs w:val="22"/>
          <w:lang w:eastAsia="ar-SA"/>
        </w:rPr>
        <w:t xml:space="preserve">tandis que </w:t>
      </w:r>
      <w:r w:rsidR="00736B0D" w:rsidRPr="004916A3">
        <w:rPr>
          <w:szCs w:val="22"/>
          <w:lang w:eastAsia="ar-SA"/>
        </w:rPr>
        <w:t xml:space="preserve">l’invention picturale, formellement affranchie par </w:t>
      </w:r>
      <w:r w:rsidR="00A57FB6" w:rsidRPr="004916A3">
        <w:rPr>
          <w:szCs w:val="22"/>
          <w:lang w:eastAsia="ar-SA"/>
        </w:rPr>
        <w:t>une telle</w:t>
      </w:r>
      <w:r w:rsidR="00736B0D" w:rsidRPr="004916A3">
        <w:rPr>
          <w:szCs w:val="22"/>
          <w:lang w:eastAsia="ar-SA"/>
        </w:rPr>
        <w:t xml:space="preserve"> contextualisation, </w:t>
      </w:r>
      <w:r w:rsidR="00001E69" w:rsidRPr="004916A3">
        <w:rPr>
          <w:szCs w:val="22"/>
          <w:lang w:eastAsia="ar-SA"/>
        </w:rPr>
        <w:t xml:space="preserve">n’en est que plus </w:t>
      </w:r>
      <w:r w:rsidRPr="004916A3">
        <w:rPr>
          <w:szCs w:val="22"/>
          <w:lang w:eastAsia="ar-SA"/>
        </w:rPr>
        <w:t>déchaînée </w:t>
      </w:r>
      <w:r w:rsidR="00001E69" w:rsidRPr="004916A3">
        <w:rPr>
          <w:szCs w:val="22"/>
          <w:lang w:eastAsia="ar-SA"/>
        </w:rPr>
        <w:t>:</w:t>
      </w:r>
      <w:r w:rsidR="00736B0D" w:rsidRPr="004916A3">
        <w:rPr>
          <w:szCs w:val="22"/>
          <w:lang w:eastAsia="ar-SA"/>
        </w:rPr>
        <w:t xml:space="preserve"> </w:t>
      </w:r>
      <w:r w:rsidRPr="004916A3">
        <w:rPr>
          <w:szCs w:val="22"/>
          <w:lang w:eastAsia="ar-SA"/>
        </w:rPr>
        <w:t xml:space="preserve">tout son potentiel tient à </w:t>
      </w:r>
      <w:r w:rsidR="00736B0D" w:rsidRPr="004916A3">
        <w:rPr>
          <w:szCs w:val="22"/>
          <w:lang w:eastAsia="ar-SA"/>
        </w:rPr>
        <w:t>l’action conjuguée des doubles</w:t>
      </w:r>
      <w:r w:rsidR="00001E69" w:rsidRPr="004916A3">
        <w:rPr>
          <w:szCs w:val="22"/>
          <w:lang w:eastAsia="ar-SA"/>
        </w:rPr>
        <w:t xml:space="preserve">, </w:t>
      </w:r>
      <w:r w:rsidR="00CC3936" w:rsidRPr="004916A3">
        <w:rPr>
          <w:szCs w:val="22"/>
          <w:lang w:eastAsia="ar-SA"/>
        </w:rPr>
        <w:t>la répétition</w:t>
      </w:r>
      <w:r w:rsidR="00736B0D" w:rsidRPr="004916A3">
        <w:rPr>
          <w:szCs w:val="22"/>
          <w:lang w:eastAsia="ar-SA"/>
        </w:rPr>
        <w:t xml:space="preserve"> </w:t>
      </w:r>
      <w:r w:rsidR="00001E69" w:rsidRPr="004916A3">
        <w:rPr>
          <w:szCs w:val="22"/>
          <w:lang w:eastAsia="ar-SA"/>
        </w:rPr>
        <w:t>déterminant</w:t>
      </w:r>
      <w:r w:rsidR="00CC3936" w:rsidRPr="004916A3">
        <w:rPr>
          <w:szCs w:val="22"/>
          <w:lang w:eastAsia="ar-SA"/>
        </w:rPr>
        <w:t xml:space="preserve"> un écho</w:t>
      </w:r>
      <w:r w:rsidR="00736B0D" w:rsidRPr="004916A3">
        <w:rPr>
          <w:szCs w:val="22"/>
          <w:lang w:eastAsia="ar-SA"/>
        </w:rPr>
        <w:t xml:space="preserve"> qui n</w:t>
      </w:r>
      <w:r w:rsidR="00CC3936" w:rsidRPr="004916A3">
        <w:rPr>
          <w:szCs w:val="22"/>
          <w:lang w:eastAsia="ar-SA"/>
        </w:rPr>
        <w:t>e se contente pas de renvoyer le tableau « de départ » à lui-même, mais l’embarque aussi</w:t>
      </w:r>
      <w:r w:rsidR="00001E69" w:rsidRPr="004916A3">
        <w:rPr>
          <w:szCs w:val="22"/>
          <w:lang w:eastAsia="ar-SA"/>
        </w:rPr>
        <w:t>tôt</w:t>
      </w:r>
      <w:r w:rsidR="00CC3936" w:rsidRPr="004916A3">
        <w:rPr>
          <w:szCs w:val="22"/>
          <w:lang w:eastAsia="ar-SA"/>
        </w:rPr>
        <w:t xml:space="preserve"> dans des itérations, des rythmes et des feuilletages surprenants.</w:t>
      </w:r>
    </w:p>
    <w:p w14:paraId="46F4B4E1" w14:textId="227BA34A" w:rsidR="00CC3936" w:rsidRPr="004916A3" w:rsidRDefault="00CC3936">
      <w:pPr>
        <w:rPr>
          <w:szCs w:val="22"/>
          <w:lang w:eastAsia="ar-SA"/>
        </w:rPr>
      </w:pPr>
      <w:r w:rsidRPr="004916A3">
        <w:rPr>
          <w:szCs w:val="22"/>
          <w:lang w:eastAsia="ar-SA"/>
        </w:rPr>
        <w:t xml:space="preserve">L’œuvre a pour fondement et point d’ancrage un noyau conceptuel : l’autoréférentialité en peinture. Elle se transforme ici en élément stylistique porteur, mais en renvoyant par ailleurs les tableaux à leur solitude : chacun d’eux est en effet clos sur lui-même et chaque nouveau tableau </w:t>
      </w:r>
      <w:r w:rsidR="00A53715" w:rsidRPr="004916A3">
        <w:rPr>
          <w:szCs w:val="22"/>
          <w:lang w:eastAsia="ar-SA"/>
        </w:rPr>
        <w:t>articule</w:t>
      </w:r>
      <w:r w:rsidRPr="004916A3">
        <w:rPr>
          <w:szCs w:val="22"/>
          <w:lang w:eastAsia="ar-SA"/>
        </w:rPr>
        <w:t xml:space="preserve"> son propre discours inédit. Il est donc dans la logique des choses que </w:t>
      </w:r>
      <w:proofErr w:type="spellStart"/>
      <w:r w:rsidRPr="004916A3">
        <w:rPr>
          <w:szCs w:val="22"/>
          <w:lang w:eastAsia="ar-SA"/>
        </w:rPr>
        <w:t>Piffaretti</w:t>
      </w:r>
      <w:proofErr w:type="spellEnd"/>
      <w:r w:rsidRPr="004916A3">
        <w:rPr>
          <w:szCs w:val="22"/>
          <w:lang w:eastAsia="ar-SA"/>
        </w:rPr>
        <w:t xml:space="preserve"> catapulte </w:t>
      </w:r>
      <w:r w:rsidR="00DE6031" w:rsidRPr="004916A3">
        <w:rPr>
          <w:szCs w:val="22"/>
          <w:lang w:eastAsia="ar-SA"/>
        </w:rPr>
        <w:t>ses différe</w:t>
      </w:r>
      <w:r w:rsidR="00312852" w:rsidRPr="004916A3">
        <w:rPr>
          <w:szCs w:val="22"/>
          <w:lang w:eastAsia="ar-SA"/>
        </w:rPr>
        <w:t>nts tableaux en dehors de tout impératif d’</w:t>
      </w:r>
      <w:r w:rsidR="00DE6031" w:rsidRPr="004916A3">
        <w:rPr>
          <w:szCs w:val="22"/>
          <w:lang w:eastAsia="ar-SA"/>
        </w:rPr>
        <w:t>unité styl</w:t>
      </w:r>
      <w:r w:rsidR="00312852" w:rsidRPr="004916A3">
        <w:rPr>
          <w:szCs w:val="22"/>
          <w:lang w:eastAsia="ar-SA"/>
        </w:rPr>
        <w:t>istiqu</w:t>
      </w:r>
      <w:r w:rsidR="00DE6031" w:rsidRPr="004916A3">
        <w:rPr>
          <w:szCs w:val="22"/>
          <w:lang w:eastAsia="ar-SA"/>
        </w:rPr>
        <w:t>e. Et cela se voit immédiatement : quiconque examine et compare ses tableaux des dernières décennies, que ce soit en feuilletant des catalogues, en visitant le site Web de l’artiste</w:t>
      </w:r>
      <w:r w:rsidR="00DE6031" w:rsidRPr="004916A3">
        <w:rPr>
          <w:rStyle w:val="Appelnotedebasdep"/>
          <w:szCs w:val="22"/>
          <w:lang w:eastAsia="ar-SA"/>
        </w:rPr>
        <w:footnoteReference w:id="3"/>
      </w:r>
      <w:r w:rsidR="00DE6031" w:rsidRPr="004916A3">
        <w:rPr>
          <w:szCs w:val="22"/>
          <w:lang w:eastAsia="ar-SA"/>
        </w:rPr>
        <w:t xml:space="preserve"> ou ses expositions, se trouvera confronté à cette </w:t>
      </w:r>
      <w:r w:rsidR="00001E69" w:rsidRPr="004916A3">
        <w:rPr>
          <w:szCs w:val="22"/>
          <w:lang w:eastAsia="ar-SA"/>
        </w:rPr>
        <w:t>simultanéité</w:t>
      </w:r>
      <w:r w:rsidR="00DE6031" w:rsidRPr="004916A3">
        <w:rPr>
          <w:szCs w:val="22"/>
          <w:lang w:eastAsia="ar-SA"/>
        </w:rPr>
        <w:t xml:space="preserve"> et à cette supra-temporalité structurelles des œuvres</w:t>
      </w:r>
      <w:r w:rsidR="00917BC8" w:rsidRPr="004916A3">
        <w:rPr>
          <w:szCs w:val="22"/>
          <w:lang w:eastAsia="ar-SA"/>
        </w:rPr>
        <w:t xml:space="preserve">. </w:t>
      </w:r>
      <w:r w:rsidR="00302B5B" w:rsidRPr="004916A3">
        <w:rPr>
          <w:szCs w:val="22"/>
          <w:lang w:eastAsia="ar-SA"/>
        </w:rPr>
        <w:t xml:space="preserve">Or, une telle </w:t>
      </w:r>
      <w:r w:rsidR="00312852" w:rsidRPr="004916A3">
        <w:rPr>
          <w:szCs w:val="22"/>
          <w:lang w:eastAsia="ar-SA"/>
        </w:rPr>
        <w:t>relance</w:t>
      </w:r>
      <w:r w:rsidR="00302B5B" w:rsidRPr="004916A3">
        <w:rPr>
          <w:szCs w:val="22"/>
          <w:lang w:eastAsia="ar-SA"/>
        </w:rPr>
        <w:t xml:space="preserve"> de la continuité esthétique</w:t>
      </w:r>
      <w:r w:rsidR="0087017C" w:rsidRPr="004916A3">
        <w:rPr>
          <w:szCs w:val="22"/>
          <w:lang w:eastAsia="ar-SA"/>
        </w:rPr>
        <w:t xml:space="preserve"> n’est pas précisément ce à quoi l’on aspire dans un monde de l’art </w:t>
      </w:r>
      <w:r w:rsidR="00001E69" w:rsidRPr="004916A3">
        <w:rPr>
          <w:szCs w:val="22"/>
          <w:lang w:eastAsia="ar-SA"/>
        </w:rPr>
        <w:t>avide</w:t>
      </w:r>
      <w:r w:rsidR="0087017C" w:rsidRPr="004916A3">
        <w:rPr>
          <w:szCs w:val="22"/>
          <w:lang w:eastAsia="ar-SA"/>
        </w:rPr>
        <w:t xml:space="preserve"> d’innovation et de sensation – c’est même quelque chose qu’il est à vrai dire fort ardu de mener à bien. </w:t>
      </w:r>
      <w:proofErr w:type="spellStart"/>
      <w:r w:rsidR="0087017C" w:rsidRPr="004916A3">
        <w:rPr>
          <w:szCs w:val="22"/>
          <w:lang w:eastAsia="ar-SA"/>
        </w:rPr>
        <w:t>Piffaretti</w:t>
      </w:r>
      <w:proofErr w:type="spellEnd"/>
      <w:r w:rsidR="0087017C" w:rsidRPr="004916A3">
        <w:rPr>
          <w:szCs w:val="22"/>
          <w:lang w:eastAsia="ar-SA"/>
        </w:rPr>
        <w:t xml:space="preserve"> y réussit pourtant avec une stupéfiante efficacité : impossible en effet, du point de vue de l’iconographie et de la composition, d’assigner ses tableaux à aucune époque ou période déterminées – seule la légende du tableau indiquera que telle œuvre a été peinte en 1988, 1992, dans les années 2000 ou ce matin même. Et l’on doit absolument considérer cela comme une prouesse esthétique, car </w:t>
      </w:r>
      <w:r w:rsidR="00CB2A12" w:rsidRPr="004916A3">
        <w:rPr>
          <w:szCs w:val="22"/>
          <w:lang w:eastAsia="ar-SA"/>
        </w:rPr>
        <w:t>après tout,</w:t>
      </w:r>
      <w:r w:rsidR="00D50444" w:rsidRPr="004916A3">
        <w:rPr>
          <w:szCs w:val="22"/>
          <w:lang w:eastAsia="ar-SA"/>
        </w:rPr>
        <w:t xml:space="preserve"> </w:t>
      </w:r>
      <w:r w:rsidR="0087017C" w:rsidRPr="004916A3">
        <w:rPr>
          <w:szCs w:val="22"/>
          <w:lang w:eastAsia="ar-SA"/>
        </w:rPr>
        <w:t>il</w:t>
      </w:r>
      <w:r w:rsidR="00D50444" w:rsidRPr="004916A3">
        <w:rPr>
          <w:szCs w:val="22"/>
          <w:lang w:eastAsia="ar-SA"/>
        </w:rPr>
        <w:t xml:space="preserve"> n’est guère </w:t>
      </w:r>
      <w:r w:rsidR="00001E69" w:rsidRPr="004916A3">
        <w:rPr>
          <w:szCs w:val="22"/>
          <w:lang w:eastAsia="ar-SA"/>
        </w:rPr>
        <w:t>aisé</w:t>
      </w:r>
      <w:r w:rsidR="00D50444" w:rsidRPr="004916A3">
        <w:rPr>
          <w:szCs w:val="22"/>
          <w:lang w:eastAsia="ar-SA"/>
        </w:rPr>
        <w:t xml:space="preserve"> pour un artiste – et plus encore quand il est peintre – de ne pas se laisser influencer, inconsciemment tout au moins, par certaines figures de style du temps où il vit –</w:t>
      </w:r>
      <w:r w:rsidR="00CB2A12" w:rsidRPr="004916A3">
        <w:rPr>
          <w:szCs w:val="22"/>
          <w:lang w:eastAsia="ar-SA"/>
        </w:rPr>
        <w:t>ne serai</w:t>
      </w:r>
      <w:r w:rsidR="00D50444" w:rsidRPr="004916A3">
        <w:rPr>
          <w:szCs w:val="22"/>
          <w:lang w:eastAsia="ar-SA"/>
        </w:rPr>
        <w:t>t-ce qu’à travers le refus ou l’affirmation.</w:t>
      </w:r>
      <w:r w:rsidR="00001E69" w:rsidRPr="004916A3">
        <w:rPr>
          <w:szCs w:val="22"/>
          <w:lang w:eastAsia="ar-SA"/>
        </w:rPr>
        <w:t xml:space="preserve"> Or,</w:t>
      </w:r>
      <w:r w:rsidR="00D50444" w:rsidRPr="004916A3">
        <w:rPr>
          <w:szCs w:val="22"/>
          <w:lang w:eastAsia="ar-SA"/>
        </w:rPr>
        <w:t xml:space="preserve"> </w:t>
      </w:r>
      <w:proofErr w:type="spellStart"/>
      <w:r w:rsidR="00D50444" w:rsidRPr="004916A3">
        <w:rPr>
          <w:szCs w:val="22"/>
          <w:lang w:eastAsia="ar-SA"/>
        </w:rPr>
        <w:t>Piffaretti</w:t>
      </w:r>
      <w:proofErr w:type="spellEnd"/>
      <w:r w:rsidR="00D50444" w:rsidRPr="004916A3">
        <w:rPr>
          <w:szCs w:val="22"/>
          <w:lang w:eastAsia="ar-SA"/>
        </w:rPr>
        <w:t xml:space="preserve"> semble </w:t>
      </w:r>
      <w:r w:rsidR="00CB2A12" w:rsidRPr="004916A3">
        <w:rPr>
          <w:szCs w:val="22"/>
          <w:lang w:eastAsia="ar-SA"/>
        </w:rPr>
        <w:t>échapper pour sa part à pareille fatalité</w:t>
      </w:r>
      <w:r w:rsidR="00D50444" w:rsidRPr="004916A3">
        <w:rPr>
          <w:szCs w:val="22"/>
          <w:lang w:eastAsia="ar-SA"/>
        </w:rPr>
        <w:t xml:space="preserve">. Et si le </w:t>
      </w:r>
      <w:r w:rsidR="00001E69" w:rsidRPr="004916A3">
        <w:rPr>
          <w:szCs w:val="22"/>
          <w:lang w:eastAsia="ar-SA"/>
        </w:rPr>
        <w:t>caractère</w:t>
      </w:r>
      <w:r w:rsidR="00D50444" w:rsidRPr="004916A3">
        <w:rPr>
          <w:szCs w:val="22"/>
          <w:lang w:eastAsia="ar-SA"/>
        </w:rPr>
        <w:t xml:space="preserve"> non figuratif de ses tableaux fait tantôt penser à </w:t>
      </w:r>
      <w:proofErr w:type="spellStart"/>
      <w:r w:rsidR="00D50444" w:rsidRPr="004916A3">
        <w:rPr>
          <w:szCs w:val="22"/>
          <w:lang w:eastAsia="ar-SA"/>
        </w:rPr>
        <w:t>Sigmar</w:t>
      </w:r>
      <w:proofErr w:type="spellEnd"/>
      <w:r w:rsidR="00D50444" w:rsidRPr="004916A3">
        <w:rPr>
          <w:szCs w:val="22"/>
          <w:lang w:eastAsia="ar-SA"/>
        </w:rPr>
        <w:t xml:space="preserve"> </w:t>
      </w:r>
      <w:proofErr w:type="spellStart"/>
      <w:r w:rsidR="00D50444" w:rsidRPr="004916A3">
        <w:rPr>
          <w:szCs w:val="22"/>
          <w:lang w:eastAsia="ar-SA"/>
        </w:rPr>
        <w:t>Polke</w:t>
      </w:r>
      <w:proofErr w:type="spellEnd"/>
      <w:r w:rsidR="00D50444" w:rsidRPr="004916A3">
        <w:rPr>
          <w:szCs w:val="22"/>
          <w:lang w:eastAsia="ar-SA"/>
        </w:rPr>
        <w:t>, tantôt à Ellsworth Kelly, Martin Barré, Günther Förg ou Yves Oppenheim, tout en resse</w:t>
      </w:r>
      <w:r w:rsidR="00001E69" w:rsidRPr="004916A3">
        <w:rPr>
          <w:szCs w:val="22"/>
          <w:lang w:eastAsia="ar-SA"/>
        </w:rPr>
        <w:t xml:space="preserve">mblant toujours à un </w:t>
      </w:r>
      <w:proofErr w:type="spellStart"/>
      <w:r w:rsidR="00001E69" w:rsidRPr="004916A3">
        <w:rPr>
          <w:szCs w:val="22"/>
          <w:lang w:eastAsia="ar-SA"/>
        </w:rPr>
        <w:t>Piffaretti</w:t>
      </w:r>
      <w:proofErr w:type="spellEnd"/>
      <w:r w:rsidR="00001E69" w:rsidRPr="004916A3">
        <w:rPr>
          <w:szCs w:val="22"/>
          <w:lang w:eastAsia="ar-SA"/>
        </w:rPr>
        <w:t xml:space="preserve"> et</w:t>
      </w:r>
      <w:r w:rsidR="00D50444" w:rsidRPr="004916A3">
        <w:rPr>
          <w:szCs w:val="22"/>
          <w:lang w:eastAsia="ar-SA"/>
        </w:rPr>
        <w:t xml:space="preserve"> sans </w:t>
      </w:r>
      <w:r w:rsidR="002929F3" w:rsidRPr="004916A3">
        <w:rPr>
          <w:szCs w:val="22"/>
          <w:lang w:eastAsia="ar-SA"/>
        </w:rPr>
        <w:t xml:space="preserve">laisser </w:t>
      </w:r>
      <w:r w:rsidR="00001E69" w:rsidRPr="004916A3">
        <w:rPr>
          <w:szCs w:val="22"/>
          <w:lang w:eastAsia="ar-SA"/>
        </w:rPr>
        <w:t>transparaître</w:t>
      </w:r>
      <w:r w:rsidR="00D50444" w:rsidRPr="004916A3">
        <w:rPr>
          <w:szCs w:val="22"/>
          <w:lang w:eastAsia="ar-SA"/>
        </w:rPr>
        <w:t>, au long de plusieurs décennies, le style d’une quelconque époque</w:t>
      </w:r>
      <w:r w:rsidR="002929F3" w:rsidRPr="004916A3">
        <w:rPr>
          <w:szCs w:val="22"/>
          <w:lang w:eastAsia="ar-SA"/>
        </w:rPr>
        <w:t xml:space="preserve">, cela témoigne </w:t>
      </w:r>
      <w:r w:rsidR="00CB2A12" w:rsidRPr="004916A3">
        <w:rPr>
          <w:szCs w:val="22"/>
          <w:lang w:eastAsia="ar-SA"/>
        </w:rPr>
        <w:lastRenderedPageBreak/>
        <w:t>en définitive</w:t>
      </w:r>
      <w:r w:rsidR="002929F3" w:rsidRPr="004916A3">
        <w:rPr>
          <w:szCs w:val="22"/>
          <w:lang w:eastAsia="ar-SA"/>
        </w:rPr>
        <w:t xml:space="preserve"> d’une belle ironie, mais aussi de la capacité de libérer effectivement le geste pictural </w:t>
      </w:r>
      <w:r w:rsidR="00001E69" w:rsidRPr="004916A3">
        <w:rPr>
          <w:szCs w:val="22"/>
          <w:lang w:eastAsia="ar-SA"/>
        </w:rPr>
        <w:t>par</w:t>
      </w:r>
      <w:r w:rsidR="002929F3" w:rsidRPr="004916A3">
        <w:rPr>
          <w:szCs w:val="22"/>
          <w:lang w:eastAsia="ar-SA"/>
        </w:rPr>
        <w:t xml:space="preserve"> cette méthode artistique.</w:t>
      </w:r>
    </w:p>
    <w:p w14:paraId="692D270D" w14:textId="73921221" w:rsidR="00173D16" w:rsidRPr="004916A3" w:rsidRDefault="002929F3" w:rsidP="009C52DA">
      <w:pPr>
        <w:rPr>
          <w:szCs w:val="22"/>
          <w:lang w:eastAsia="ar-SA"/>
        </w:rPr>
      </w:pPr>
      <w:r w:rsidRPr="004916A3">
        <w:rPr>
          <w:szCs w:val="22"/>
          <w:lang w:eastAsia="ar-SA"/>
        </w:rPr>
        <w:t>Cette démarche, on pourrait également la définir comme une banalisation stratégique des « contenus » picturaux.</w:t>
      </w:r>
      <w:r w:rsidR="00CC53C3" w:rsidRPr="004916A3">
        <w:rPr>
          <w:szCs w:val="22"/>
          <w:lang w:eastAsia="ar-SA"/>
        </w:rPr>
        <w:t xml:space="preserve"> C’est ce que dit </w:t>
      </w:r>
      <w:proofErr w:type="spellStart"/>
      <w:r w:rsidR="00CC53C3" w:rsidRPr="004916A3">
        <w:rPr>
          <w:szCs w:val="22"/>
          <w:lang w:eastAsia="ar-SA"/>
        </w:rPr>
        <w:t>Piffaretti</w:t>
      </w:r>
      <w:proofErr w:type="spellEnd"/>
      <w:r w:rsidR="00CC53C3" w:rsidRPr="004916A3">
        <w:rPr>
          <w:szCs w:val="22"/>
          <w:lang w:eastAsia="ar-SA"/>
        </w:rPr>
        <w:t xml:space="preserve"> lui-même, en parlant de sa méthode de duplication interne du tableau : </w:t>
      </w:r>
      <w:r w:rsidR="00173D16" w:rsidRPr="004916A3">
        <w:rPr>
          <w:szCs w:val="22"/>
          <w:lang w:eastAsia="ar-SA"/>
        </w:rPr>
        <w:t>« Tous mes prétextes à peindre sont donc banalisés par ce redoublement. L’idée du tableau est mise en balance et prend ainsi toute sa valeur</w:t>
      </w:r>
      <w:r w:rsidR="00D511B0" w:rsidRPr="004916A3">
        <w:rPr>
          <w:rStyle w:val="Appelnotedebasdep"/>
          <w:szCs w:val="22"/>
          <w:lang w:eastAsia="ar-SA"/>
        </w:rPr>
        <w:footnoteReference w:id="4"/>
      </w:r>
      <w:r w:rsidR="00173D16" w:rsidRPr="004916A3">
        <w:rPr>
          <w:szCs w:val="22"/>
          <w:lang w:eastAsia="ar-SA"/>
        </w:rPr>
        <w:t>. »</w:t>
      </w:r>
      <w:r w:rsidR="0053332D" w:rsidRPr="004916A3">
        <w:rPr>
          <w:szCs w:val="22"/>
          <w:lang w:eastAsia="ar-SA"/>
        </w:rPr>
        <w:t xml:space="preserve"> Ce qui apparaît d’abord ici comme une contradiction peut parfaitement se penser au contraire dans un même mouvement. Les contenus et les formules de style ont certes l’air d’être arbi</w:t>
      </w:r>
      <w:r w:rsidR="00740308" w:rsidRPr="004916A3">
        <w:rPr>
          <w:szCs w:val="22"/>
          <w:lang w:eastAsia="ar-SA"/>
        </w:rPr>
        <w:t xml:space="preserve">traires, et donc « banals », et toute </w:t>
      </w:r>
      <w:r w:rsidR="0053332D" w:rsidRPr="004916A3">
        <w:rPr>
          <w:szCs w:val="22"/>
          <w:lang w:eastAsia="ar-SA"/>
        </w:rPr>
        <w:t xml:space="preserve">évolution artistique est </w:t>
      </w:r>
      <w:r w:rsidR="00740308" w:rsidRPr="004916A3">
        <w:rPr>
          <w:szCs w:val="22"/>
          <w:lang w:eastAsia="ar-SA"/>
        </w:rPr>
        <w:t xml:space="preserve">abolie au profit d’idées </w:t>
      </w:r>
      <w:r w:rsidR="00740308" w:rsidRPr="004916A3">
        <w:rPr>
          <w:i/>
          <w:szCs w:val="22"/>
          <w:lang w:eastAsia="ar-SA"/>
        </w:rPr>
        <w:t>ad hoc</w:t>
      </w:r>
      <w:r w:rsidR="00740308" w:rsidRPr="004916A3">
        <w:rPr>
          <w:szCs w:val="22"/>
          <w:lang w:eastAsia="ar-SA"/>
        </w:rPr>
        <w:t xml:space="preserve"> – dans leur conjugaison, le geste, la forme et la couleur ne s’en laissent pourtant combiner et explorer que plus librement. Quand on considère l’œuvre dans son ensemble, c’est précisément ce qui permet cette simultanéité globale des styles à laquelle </w:t>
      </w:r>
      <w:proofErr w:type="spellStart"/>
      <w:r w:rsidR="00740308" w:rsidRPr="004916A3">
        <w:rPr>
          <w:szCs w:val="22"/>
          <w:lang w:eastAsia="ar-SA"/>
        </w:rPr>
        <w:t>Piffaretti</w:t>
      </w:r>
      <w:proofErr w:type="spellEnd"/>
      <w:r w:rsidR="00740308" w:rsidRPr="004916A3">
        <w:rPr>
          <w:szCs w:val="22"/>
          <w:lang w:eastAsia="ar-SA"/>
        </w:rPr>
        <w:t xml:space="preserve"> puise depuis des décennies</w:t>
      </w:r>
      <w:r w:rsidR="009C52DA" w:rsidRPr="004916A3">
        <w:rPr>
          <w:szCs w:val="22"/>
          <w:lang w:eastAsia="ar-SA"/>
        </w:rPr>
        <w:t xml:space="preserve">. Et il y fait preuve de radicalité, si l’on admet que les propos tenus par l’artiste en 1991 ont conservé </w:t>
      </w:r>
      <w:r w:rsidR="00CB2A12" w:rsidRPr="004916A3">
        <w:rPr>
          <w:szCs w:val="22"/>
          <w:lang w:eastAsia="ar-SA"/>
        </w:rPr>
        <w:t>jusqu’ici</w:t>
      </w:r>
      <w:r w:rsidR="009C52DA" w:rsidRPr="004916A3">
        <w:rPr>
          <w:szCs w:val="22"/>
          <w:lang w:eastAsia="ar-SA"/>
        </w:rPr>
        <w:t xml:space="preserve"> toute leur validité : </w:t>
      </w:r>
      <w:r w:rsidR="00173D16" w:rsidRPr="004916A3">
        <w:rPr>
          <w:szCs w:val="22"/>
          <w:lang w:eastAsia="ar-SA"/>
        </w:rPr>
        <w:t>« Cela ne servirait à rien d’avoir un seul style. Je prends en charge tous les codes picturaux. Cela me permet d’avoir des cassures au niveau de l’expression picturale. Tel tableau n’est pas plus juste que tel autre. Ils parlent tous de la même chose. Le plus important, c’est vraiment le temps de passage d’un côté à l’autre du tableau. Cela se matérialise par ce marquage central. Tout ce qui est montré joue visuelleme</w:t>
      </w:r>
      <w:r w:rsidR="00917BC8" w:rsidRPr="004916A3">
        <w:rPr>
          <w:szCs w:val="22"/>
          <w:lang w:eastAsia="ar-SA"/>
        </w:rPr>
        <w:t>nt. Il y a des rapports de</w:t>
      </w:r>
      <w:r w:rsidR="00173D16" w:rsidRPr="004916A3">
        <w:rPr>
          <w:szCs w:val="22"/>
          <w:lang w:eastAsia="ar-SA"/>
        </w:rPr>
        <w:t xml:space="preserve"> formes, de couleurs, etc. Je ne peins pas les yeux fermés. Mais le choix de contenu iconographique n’a, en soi, aucune importance</w:t>
      </w:r>
      <w:r w:rsidR="00740308" w:rsidRPr="004916A3">
        <w:rPr>
          <w:rStyle w:val="Appelnotedebasdep"/>
          <w:szCs w:val="22"/>
          <w:lang w:eastAsia="ar-SA"/>
        </w:rPr>
        <w:footnoteReference w:id="5"/>
      </w:r>
      <w:r w:rsidR="00173D16" w:rsidRPr="004916A3">
        <w:rPr>
          <w:szCs w:val="22"/>
          <w:lang w:eastAsia="ar-SA"/>
        </w:rPr>
        <w:t>. »</w:t>
      </w:r>
      <w:r w:rsidR="009C52DA" w:rsidRPr="004916A3">
        <w:rPr>
          <w:szCs w:val="22"/>
          <w:lang w:eastAsia="ar-SA"/>
        </w:rPr>
        <w:t xml:space="preserve"> Le principe pictural de </w:t>
      </w:r>
      <w:proofErr w:type="spellStart"/>
      <w:r w:rsidR="009C52DA" w:rsidRPr="004916A3">
        <w:rPr>
          <w:szCs w:val="22"/>
          <w:lang w:eastAsia="ar-SA"/>
        </w:rPr>
        <w:t>Piffaretti</w:t>
      </w:r>
      <w:proofErr w:type="spellEnd"/>
      <w:r w:rsidR="009C52DA" w:rsidRPr="004916A3">
        <w:rPr>
          <w:szCs w:val="22"/>
          <w:lang w:eastAsia="ar-SA"/>
        </w:rPr>
        <w:t xml:space="preserve"> vise la structure circulaire du regard. Dans tout tableau, il fait faire demi-tour au regard, pour le ramener à la peinture même – en </w:t>
      </w:r>
      <w:r w:rsidR="00C55DED" w:rsidRPr="004916A3">
        <w:rPr>
          <w:szCs w:val="22"/>
          <w:lang w:eastAsia="ar-SA"/>
        </w:rPr>
        <w:t>termes conceptuels : à son auto</w:t>
      </w:r>
      <w:r w:rsidR="009C52DA" w:rsidRPr="004916A3">
        <w:rPr>
          <w:szCs w:val="22"/>
          <w:lang w:eastAsia="ar-SA"/>
        </w:rPr>
        <w:t xml:space="preserve">référentialité ; en termes visuels : à elle-même en tant que pur présent. Dès lors, il est juste que ses œuvres ne portent pas de titre – elles s’appellent toutes </w:t>
      </w:r>
      <w:r w:rsidR="009C52DA" w:rsidRPr="004916A3">
        <w:rPr>
          <w:i/>
          <w:szCs w:val="22"/>
          <w:lang w:eastAsia="ar-SA"/>
        </w:rPr>
        <w:t>San</w:t>
      </w:r>
      <w:r w:rsidR="00362143" w:rsidRPr="004916A3">
        <w:rPr>
          <w:i/>
          <w:szCs w:val="22"/>
          <w:lang w:eastAsia="ar-SA"/>
        </w:rPr>
        <w:t>s titre</w:t>
      </w:r>
      <w:r w:rsidR="009C52DA" w:rsidRPr="004916A3">
        <w:rPr>
          <w:i/>
          <w:szCs w:val="22"/>
          <w:lang w:eastAsia="ar-SA"/>
        </w:rPr>
        <w:t xml:space="preserve">, </w:t>
      </w:r>
      <w:proofErr w:type="spellStart"/>
      <w:r w:rsidR="009C52DA" w:rsidRPr="004916A3">
        <w:rPr>
          <w:i/>
          <w:szCs w:val="22"/>
          <w:lang w:eastAsia="ar-SA"/>
        </w:rPr>
        <w:t>Untitled</w:t>
      </w:r>
      <w:proofErr w:type="spellEnd"/>
      <w:r w:rsidR="00362143" w:rsidRPr="004916A3">
        <w:rPr>
          <w:i/>
          <w:szCs w:val="22"/>
          <w:lang w:eastAsia="ar-SA"/>
        </w:rPr>
        <w:t xml:space="preserve">, </w:t>
      </w:r>
      <w:proofErr w:type="spellStart"/>
      <w:r w:rsidR="00362143" w:rsidRPr="004916A3">
        <w:rPr>
          <w:i/>
          <w:szCs w:val="22"/>
          <w:lang w:eastAsia="ar-SA"/>
        </w:rPr>
        <w:t>O</w:t>
      </w:r>
      <w:r w:rsidR="00C55DED" w:rsidRPr="004916A3">
        <w:rPr>
          <w:i/>
          <w:szCs w:val="22"/>
          <w:lang w:eastAsia="ar-SA"/>
        </w:rPr>
        <w:t>hne</w:t>
      </w:r>
      <w:proofErr w:type="spellEnd"/>
      <w:r w:rsidR="00C55DED" w:rsidRPr="004916A3">
        <w:rPr>
          <w:i/>
          <w:szCs w:val="22"/>
          <w:lang w:eastAsia="ar-SA"/>
        </w:rPr>
        <w:t xml:space="preserve"> </w:t>
      </w:r>
      <w:proofErr w:type="spellStart"/>
      <w:r w:rsidR="00C55DED" w:rsidRPr="004916A3">
        <w:rPr>
          <w:i/>
          <w:szCs w:val="22"/>
          <w:lang w:eastAsia="ar-SA"/>
        </w:rPr>
        <w:t>Titel</w:t>
      </w:r>
      <w:proofErr w:type="spellEnd"/>
      <w:r w:rsidR="00C55DED" w:rsidRPr="004916A3">
        <w:rPr>
          <w:szCs w:val="22"/>
          <w:lang w:eastAsia="ar-SA"/>
        </w:rPr>
        <w:t xml:space="preserve">, selon les langues. Il s’agit d’un côté de perpétuer une tradition de la peinture abstraite et de mettre l’accent sur la non </w:t>
      </w:r>
      <w:proofErr w:type="spellStart"/>
      <w:r w:rsidR="00C55DED" w:rsidRPr="004916A3">
        <w:rPr>
          <w:szCs w:val="22"/>
          <w:lang w:eastAsia="ar-SA"/>
        </w:rPr>
        <w:t>référentialité</w:t>
      </w:r>
      <w:proofErr w:type="spellEnd"/>
      <w:r w:rsidR="00C55DED" w:rsidRPr="004916A3">
        <w:rPr>
          <w:szCs w:val="22"/>
          <w:lang w:eastAsia="ar-SA"/>
        </w:rPr>
        <w:t xml:space="preserve"> ainsi exprimée de la représentation (ce que les tableaux de </w:t>
      </w:r>
      <w:proofErr w:type="spellStart"/>
      <w:r w:rsidR="00C55DED" w:rsidRPr="004916A3">
        <w:rPr>
          <w:szCs w:val="22"/>
          <w:lang w:eastAsia="ar-SA"/>
        </w:rPr>
        <w:t>Piffaretti</w:t>
      </w:r>
      <w:proofErr w:type="spellEnd"/>
      <w:r w:rsidR="00C55DED" w:rsidRPr="004916A3">
        <w:rPr>
          <w:szCs w:val="22"/>
          <w:lang w:eastAsia="ar-SA"/>
        </w:rPr>
        <w:t xml:space="preserve"> peuvent en eff</w:t>
      </w:r>
      <w:r w:rsidR="00362143" w:rsidRPr="004916A3">
        <w:rPr>
          <w:szCs w:val="22"/>
          <w:lang w:eastAsia="ar-SA"/>
        </w:rPr>
        <w:t>et revendiquer – dès lors qu</w:t>
      </w:r>
      <w:r w:rsidR="00C55DED" w:rsidRPr="004916A3">
        <w:rPr>
          <w:szCs w:val="22"/>
          <w:lang w:eastAsia="ar-SA"/>
        </w:rPr>
        <w:t>’on laisse de côté le</w:t>
      </w:r>
      <w:r w:rsidR="00B563F6" w:rsidRPr="004916A3">
        <w:rPr>
          <w:szCs w:val="22"/>
          <w:lang w:eastAsia="ar-SA"/>
        </w:rPr>
        <w:t>ur caractère autoréférentiel). Mais d</w:t>
      </w:r>
      <w:r w:rsidR="00362143" w:rsidRPr="004916A3">
        <w:rPr>
          <w:szCs w:val="22"/>
          <w:lang w:eastAsia="ar-SA"/>
        </w:rPr>
        <w:t>e l’autre, ce qui se manifeste</w:t>
      </w:r>
      <w:r w:rsidR="00C55DED" w:rsidRPr="004916A3">
        <w:rPr>
          <w:szCs w:val="22"/>
          <w:lang w:eastAsia="ar-SA"/>
        </w:rPr>
        <w:t xml:space="preserve"> en outre dans cette absence explicite de dénomination, c’est </w:t>
      </w:r>
      <w:r w:rsidR="00B563F6" w:rsidRPr="004916A3">
        <w:rPr>
          <w:szCs w:val="22"/>
          <w:lang w:eastAsia="ar-SA"/>
        </w:rPr>
        <w:t>précisément</w:t>
      </w:r>
      <w:r w:rsidR="00282F2C" w:rsidRPr="004916A3">
        <w:rPr>
          <w:szCs w:val="22"/>
          <w:lang w:eastAsia="ar-SA"/>
        </w:rPr>
        <w:t xml:space="preserve"> cette </w:t>
      </w:r>
      <w:r w:rsidR="00C55DED" w:rsidRPr="004916A3">
        <w:rPr>
          <w:szCs w:val="22"/>
          <w:lang w:eastAsia="ar-SA"/>
        </w:rPr>
        <w:t xml:space="preserve">indifférence stylistique et </w:t>
      </w:r>
      <w:r w:rsidR="00282F2C" w:rsidRPr="004916A3">
        <w:rPr>
          <w:szCs w:val="22"/>
          <w:lang w:eastAsia="ar-SA"/>
        </w:rPr>
        <w:t>cette</w:t>
      </w:r>
      <w:r w:rsidR="00C55DED" w:rsidRPr="004916A3">
        <w:rPr>
          <w:szCs w:val="22"/>
          <w:lang w:eastAsia="ar-SA"/>
        </w:rPr>
        <w:t xml:space="preserve"> supra-temporalité </w:t>
      </w:r>
      <w:r w:rsidR="0099417A" w:rsidRPr="004916A3">
        <w:rPr>
          <w:szCs w:val="22"/>
          <w:lang w:eastAsia="ar-SA"/>
        </w:rPr>
        <w:t xml:space="preserve">où </w:t>
      </w:r>
      <w:r w:rsidR="00E85236" w:rsidRPr="004916A3">
        <w:rPr>
          <w:szCs w:val="22"/>
          <w:lang w:eastAsia="ar-SA"/>
        </w:rPr>
        <w:t xml:space="preserve">viennent </w:t>
      </w:r>
      <w:r w:rsidR="0099417A" w:rsidRPr="004916A3">
        <w:rPr>
          <w:szCs w:val="22"/>
          <w:lang w:eastAsia="ar-SA"/>
        </w:rPr>
        <w:t>s’</w:t>
      </w:r>
      <w:r w:rsidR="00E85236" w:rsidRPr="004916A3">
        <w:rPr>
          <w:szCs w:val="22"/>
          <w:lang w:eastAsia="ar-SA"/>
        </w:rPr>
        <w:t>inscrire</w:t>
      </w:r>
      <w:r w:rsidR="0099417A" w:rsidRPr="004916A3">
        <w:rPr>
          <w:szCs w:val="22"/>
          <w:lang w:eastAsia="ar-SA"/>
        </w:rPr>
        <w:t xml:space="preserve"> les œuvres.</w:t>
      </w:r>
    </w:p>
    <w:p w14:paraId="04401FBA" w14:textId="74B96B2A" w:rsidR="00173D16" w:rsidRPr="004916A3" w:rsidRDefault="00E85236" w:rsidP="00A123C8">
      <w:pPr>
        <w:rPr>
          <w:szCs w:val="22"/>
          <w:lang w:eastAsia="ar-SA"/>
        </w:rPr>
      </w:pPr>
      <w:r w:rsidRPr="004916A3">
        <w:rPr>
          <w:szCs w:val="22"/>
          <w:lang w:eastAsia="ar-SA"/>
        </w:rPr>
        <w:t xml:space="preserve">Le principe de la répétition de ses propres énoncés </w:t>
      </w:r>
      <w:r w:rsidR="00362143" w:rsidRPr="004916A3">
        <w:rPr>
          <w:szCs w:val="22"/>
          <w:lang w:eastAsia="ar-SA"/>
        </w:rPr>
        <w:t>comporte</w:t>
      </w:r>
      <w:r w:rsidRPr="004916A3">
        <w:rPr>
          <w:szCs w:val="22"/>
          <w:lang w:eastAsia="ar-SA"/>
        </w:rPr>
        <w:t xml:space="preserve"> cependant </w:t>
      </w:r>
      <w:r w:rsidR="00362143" w:rsidRPr="004916A3">
        <w:rPr>
          <w:szCs w:val="22"/>
          <w:lang w:eastAsia="ar-SA"/>
        </w:rPr>
        <w:t>une dimension supplémentaire</w:t>
      </w:r>
      <w:r w:rsidRPr="004916A3">
        <w:rPr>
          <w:szCs w:val="22"/>
          <w:lang w:eastAsia="ar-SA"/>
        </w:rPr>
        <w:t xml:space="preserve"> : </w:t>
      </w:r>
      <w:proofErr w:type="spellStart"/>
      <w:r w:rsidRPr="004916A3">
        <w:rPr>
          <w:szCs w:val="22"/>
          <w:lang w:eastAsia="ar-SA"/>
        </w:rPr>
        <w:t>Piffaretti</w:t>
      </w:r>
      <w:proofErr w:type="spellEnd"/>
      <w:r w:rsidRPr="004916A3">
        <w:rPr>
          <w:szCs w:val="22"/>
          <w:lang w:eastAsia="ar-SA"/>
        </w:rPr>
        <w:t xml:space="preserve"> ne joue pas seulement avec les catégories de l’« original » et de la « réplique », il place aussi le rapport de représentation entre le tableau et l’objet sous un nouveau jour. De fait et à rebours </w:t>
      </w:r>
      <w:r w:rsidR="00362143" w:rsidRPr="004916A3">
        <w:rPr>
          <w:szCs w:val="22"/>
          <w:lang w:eastAsia="ar-SA"/>
        </w:rPr>
        <w:t>de l’apparente abstraction des œuvres</w:t>
      </w:r>
      <w:r w:rsidR="00EA6722" w:rsidRPr="004916A3">
        <w:rPr>
          <w:szCs w:val="22"/>
          <w:lang w:eastAsia="ar-SA"/>
        </w:rPr>
        <w:t xml:space="preserve">, on ne saurait </w:t>
      </w:r>
      <w:r w:rsidR="00362143" w:rsidRPr="004916A3">
        <w:rPr>
          <w:szCs w:val="22"/>
          <w:lang w:eastAsia="ar-SA"/>
        </w:rPr>
        <w:t>affirmer</w:t>
      </w:r>
      <w:r w:rsidR="00EA6722" w:rsidRPr="004916A3">
        <w:rPr>
          <w:szCs w:val="22"/>
          <w:lang w:eastAsia="ar-SA"/>
        </w:rPr>
        <w:t xml:space="preserve"> sans autre forme de procès qu’il s’agit d’une peinture non figurative. Visuellement, c’est certainement vrai – mais dans la mesure où </w:t>
      </w:r>
      <w:proofErr w:type="spellStart"/>
      <w:r w:rsidR="00EA6722" w:rsidRPr="004916A3">
        <w:rPr>
          <w:szCs w:val="22"/>
          <w:lang w:eastAsia="ar-SA"/>
        </w:rPr>
        <w:t>Piffaretti</w:t>
      </w:r>
      <w:proofErr w:type="spellEnd"/>
      <w:r w:rsidR="00EA6722" w:rsidRPr="004916A3">
        <w:rPr>
          <w:szCs w:val="22"/>
          <w:lang w:eastAsia="ar-SA"/>
        </w:rPr>
        <w:t xml:space="preserve">, en rigoureux copiste de lui-même, élève toujours sa propre invention picturale au rang de motif secondaire, il introduit du même coup une </w:t>
      </w:r>
      <w:r w:rsidR="00362143" w:rsidRPr="004916A3">
        <w:rPr>
          <w:szCs w:val="22"/>
          <w:lang w:eastAsia="ar-SA"/>
        </w:rPr>
        <w:t>forme</w:t>
      </w:r>
      <w:r w:rsidR="00EA6722" w:rsidRPr="004916A3">
        <w:rPr>
          <w:szCs w:val="22"/>
          <w:lang w:eastAsia="ar-SA"/>
        </w:rPr>
        <w:t xml:space="preserve"> partic</w:t>
      </w:r>
      <w:r w:rsidR="00362143" w:rsidRPr="004916A3">
        <w:rPr>
          <w:szCs w:val="22"/>
          <w:lang w:eastAsia="ar-SA"/>
        </w:rPr>
        <w:t>ulière de « figuration » dans son</w:t>
      </w:r>
      <w:r w:rsidR="00EA6722" w:rsidRPr="004916A3">
        <w:rPr>
          <w:szCs w:val="22"/>
          <w:lang w:eastAsia="ar-SA"/>
        </w:rPr>
        <w:t xml:space="preserve"> </w:t>
      </w:r>
      <w:r w:rsidR="00362143" w:rsidRPr="004916A3">
        <w:rPr>
          <w:szCs w:val="22"/>
          <w:lang w:eastAsia="ar-SA"/>
        </w:rPr>
        <w:lastRenderedPageBreak/>
        <w:t>art</w:t>
      </w:r>
      <w:r w:rsidR="00EA6722" w:rsidRPr="004916A3">
        <w:rPr>
          <w:szCs w:val="22"/>
          <w:lang w:eastAsia="ar-SA"/>
        </w:rPr>
        <w:t xml:space="preserve"> – </w:t>
      </w:r>
      <w:r w:rsidR="00362143" w:rsidRPr="004916A3">
        <w:rPr>
          <w:szCs w:val="22"/>
          <w:lang w:eastAsia="ar-SA"/>
        </w:rPr>
        <w:t>qui est par ailleurs amplement non figuratif</w:t>
      </w:r>
      <w:r w:rsidR="00EA6722" w:rsidRPr="004916A3">
        <w:rPr>
          <w:szCs w:val="22"/>
          <w:lang w:eastAsia="ar-SA"/>
        </w:rPr>
        <w:t xml:space="preserve">. Dans ses tableaux, les deux côtés, séparés par une marque centrale, se reproduisent, de sorte </w:t>
      </w:r>
      <w:r w:rsidR="007E13B8" w:rsidRPr="004916A3">
        <w:rPr>
          <w:szCs w:val="22"/>
          <w:lang w:eastAsia="ar-SA"/>
        </w:rPr>
        <w:t>qu’on peut</w:t>
      </w:r>
      <w:r w:rsidR="00EA6722" w:rsidRPr="004916A3">
        <w:rPr>
          <w:szCs w:val="22"/>
          <w:lang w:eastAsia="ar-SA"/>
        </w:rPr>
        <w:t xml:space="preserve"> précisément </w:t>
      </w:r>
      <w:r w:rsidR="007E13B8" w:rsidRPr="004916A3">
        <w:rPr>
          <w:szCs w:val="22"/>
          <w:lang w:eastAsia="ar-SA"/>
        </w:rPr>
        <w:t xml:space="preserve">les </w:t>
      </w:r>
      <w:r w:rsidR="00EA6722" w:rsidRPr="004916A3">
        <w:rPr>
          <w:szCs w:val="22"/>
          <w:lang w:eastAsia="ar-SA"/>
        </w:rPr>
        <w:t xml:space="preserve">considérer comme image et objet l’un de l’autre. </w:t>
      </w:r>
      <w:r w:rsidR="00165B1D" w:rsidRPr="004916A3">
        <w:rPr>
          <w:szCs w:val="22"/>
          <w:lang w:eastAsia="ar-SA"/>
        </w:rPr>
        <w:t>À cet égard</w:t>
      </w:r>
      <w:r w:rsidR="00EA6722" w:rsidRPr="004916A3">
        <w:rPr>
          <w:szCs w:val="22"/>
          <w:lang w:eastAsia="ar-SA"/>
        </w:rPr>
        <w:t xml:space="preserve">, </w:t>
      </w:r>
      <w:r w:rsidR="008471A8" w:rsidRPr="004916A3">
        <w:rPr>
          <w:szCs w:val="22"/>
          <w:lang w:eastAsia="ar-SA"/>
        </w:rPr>
        <w:t xml:space="preserve">toute </w:t>
      </w:r>
      <w:r w:rsidR="00EA6722" w:rsidRPr="004916A3">
        <w:rPr>
          <w:szCs w:val="22"/>
          <w:lang w:eastAsia="ar-SA"/>
        </w:rPr>
        <w:t>œuvre</w:t>
      </w:r>
      <w:r w:rsidR="007E13B8" w:rsidRPr="004916A3">
        <w:rPr>
          <w:szCs w:val="22"/>
          <w:lang w:eastAsia="ar-SA"/>
        </w:rPr>
        <w:t xml:space="preserve"> </w:t>
      </w:r>
      <w:r w:rsidR="008471A8" w:rsidRPr="004916A3">
        <w:rPr>
          <w:szCs w:val="22"/>
          <w:lang w:eastAsia="ar-SA"/>
        </w:rPr>
        <w:t>particulière</w:t>
      </w:r>
      <w:r w:rsidR="007E13B8" w:rsidRPr="004916A3">
        <w:rPr>
          <w:szCs w:val="22"/>
          <w:lang w:eastAsia="ar-SA"/>
        </w:rPr>
        <w:t xml:space="preserve"> </w:t>
      </w:r>
      <w:r w:rsidR="00165B1D" w:rsidRPr="004916A3">
        <w:rPr>
          <w:szCs w:val="22"/>
          <w:lang w:eastAsia="ar-SA"/>
        </w:rPr>
        <w:t>se présente</w:t>
      </w:r>
      <w:r w:rsidR="007E13B8" w:rsidRPr="004916A3">
        <w:rPr>
          <w:szCs w:val="22"/>
          <w:lang w:eastAsia="ar-SA"/>
        </w:rPr>
        <w:t xml:space="preserve"> </w:t>
      </w:r>
      <w:r w:rsidR="008471A8" w:rsidRPr="004916A3">
        <w:rPr>
          <w:szCs w:val="22"/>
          <w:lang w:eastAsia="ar-SA"/>
        </w:rPr>
        <w:t>aussi</w:t>
      </w:r>
      <w:r w:rsidR="002E1F91" w:rsidRPr="004916A3">
        <w:rPr>
          <w:szCs w:val="22"/>
          <w:lang w:eastAsia="ar-SA"/>
        </w:rPr>
        <w:t>, à chaque fois,</w:t>
      </w:r>
      <w:r w:rsidR="008471A8" w:rsidRPr="004916A3">
        <w:rPr>
          <w:szCs w:val="22"/>
          <w:lang w:eastAsia="ar-SA"/>
        </w:rPr>
        <w:t xml:space="preserve"> </w:t>
      </w:r>
      <w:r w:rsidR="00165B1D" w:rsidRPr="004916A3">
        <w:rPr>
          <w:szCs w:val="22"/>
          <w:lang w:eastAsia="ar-SA"/>
        </w:rPr>
        <w:t xml:space="preserve">comme un </w:t>
      </w:r>
      <w:r w:rsidR="008471A8" w:rsidRPr="004916A3">
        <w:rPr>
          <w:szCs w:val="22"/>
          <w:lang w:eastAsia="ar-SA"/>
        </w:rPr>
        <w:t>cas typique. Cela étant, ce sont précisément ces subtile</w:t>
      </w:r>
      <w:r w:rsidR="002E1F91" w:rsidRPr="004916A3">
        <w:rPr>
          <w:szCs w:val="22"/>
          <w:lang w:eastAsia="ar-SA"/>
        </w:rPr>
        <w:t xml:space="preserve">s différences picturales entre moitié gauche et moitié droite, par exemple une goutte qui coule autrement ou deux tracés linéaires qui s’écartent légèrement l’un de l’autre, etc., qui marquent sémantiquement que l’un des deux tableaux jumeaux est la copie de l’autre et qu’il lui donc subordonné dans le temps et quant à son motif. </w:t>
      </w:r>
      <w:proofErr w:type="spellStart"/>
      <w:r w:rsidR="002E1F91" w:rsidRPr="004916A3">
        <w:rPr>
          <w:szCs w:val="22"/>
          <w:lang w:eastAsia="ar-SA"/>
        </w:rPr>
        <w:t>Piffaretti</w:t>
      </w:r>
      <w:proofErr w:type="spellEnd"/>
      <w:r w:rsidR="002E1F91" w:rsidRPr="004916A3">
        <w:rPr>
          <w:szCs w:val="22"/>
          <w:lang w:eastAsia="ar-SA"/>
        </w:rPr>
        <w:t xml:space="preserve"> n’abolit d’ailleurs pas ce rapport de tension et c’est son œuvre en entier qui en est au contraire déterminé. Ainsi son procédé n’est-il tautologique qu’en apparence, A = A, car l’identique y est profondément et multiplement enraciné dans la différence – marqué par des différences de chronologie, de style, des différences qui ont rapport à l’action et des différences sémantiques</w:t>
      </w:r>
      <w:r w:rsidR="00BC0E1F" w:rsidRPr="004916A3">
        <w:rPr>
          <w:szCs w:val="22"/>
          <w:lang w:eastAsia="ar-SA"/>
        </w:rPr>
        <w:t>. Ainsi l</w:t>
      </w:r>
      <w:r w:rsidR="00A123C8" w:rsidRPr="004916A3">
        <w:rPr>
          <w:szCs w:val="22"/>
          <w:lang w:eastAsia="ar-SA"/>
        </w:rPr>
        <w:t xml:space="preserve">e critique français Jean-Pierre </w:t>
      </w:r>
      <w:proofErr w:type="spellStart"/>
      <w:r w:rsidR="00A123C8" w:rsidRPr="004916A3">
        <w:rPr>
          <w:szCs w:val="22"/>
          <w:lang w:eastAsia="ar-SA"/>
        </w:rPr>
        <w:t>Criqui</w:t>
      </w:r>
      <w:proofErr w:type="spellEnd"/>
      <w:r w:rsidR="00A123C8" w:rsidRPr="004916A3">
        <w:rPr>
          <w:szCs w:val="22"/>
          <w:lang w:eastAsia="ar-SA"/>
        </w:rPr>
        <w:t xml:space="preserve"> </w:t>
      </w:r>
      <w:proofErr w:type="spellStart"/>
      <w:r w:rsidR="00A123C8" w:rsidRPr="004916A3">
        <w:rPr>
          <w:szCs w:val="22"/>
          <w:lang w:eastAsia="ar-SA"/>
        </w:rPr>
        <w:t>a</w:t>
      </w:r>
      <w:r w:rsidR="00BC0E1F" w:rsidRPr="004916A3">
        <w:rPr>
          <w:szCs w:val="22"/>
          <w:lang w:eastAsia="ar-SA"/>
        </w:rPr>
        <w:t>-t-il</w:t>
      </w:r>
      <w:proofErr w:type="spellEnd"/>
      <w:r w:rsidR="00A123C8" w:rsidRPr="004916A3">
        <w:rPr>
          <w:szCs w:val="22"/>
          <w:lang w:eastAsia="ar-SA"/>
        </w:rPr>
        <w:t xml:space="preserve"> pu décrire cette démarche comme un ensemble de tensions de cette sorte : </w:t>
      </w:r>
      <w:r w:rsidR="00173D16" w:rsidRPr="004916A3">
        <w:rPr>
          <w:szCs w:val="22"/>
          <w:lang w:eastAsia="ar-SA"/>
        </w:rPr>
        <w:t xml:space="preserve">« En peignant ainsi des manières, mille manières, sans autre programme que de n’adhérer à aucune, sans garantie d’authenticité ni promesse de direction à venir […]. Ce retour sur soi, </w:t>
      </w:r>
      <w:proofErr w:type="spellStart"/>
      <w:r w:rsidR="00173D16" w:rsidRPr="004916A3">
        <w:rPr>
          <w:szCs w:val="22"/>
          <w:lang w:eastAsia="ar-SA"/>
        </w:rPr>
        <w:t>Piffaretti</w:t>
      </w:r>
      <w:proofErr w:type="spellEnd"/>
      <w:r w:rsidR="00173D16" w:rsidRPr="004916A3">
        <w:rPr>
          <w:szCs w:val="22"/>
          <w:lang w:eastAsia="ar-SA"/>
        </w:rPr>
        <w:t xml:space="preserve"> ne l’exécute au fil de tableaux que de la façon la plus foncièrement réactive, à travers une tactique de différenciation extrême</w:t>
      </w:r>
      <w:r w:rsidR="00A123C8" w:rsidRPr="004916A3">
        <w:rPr>
          <w:rStyle w:val="Appelnotedebasdep"/>
          <w:szCs w:val="22"/>
          <w:lang w:eastAsia="ar-SA"/>
        </w:rPr>
        <w:footnoteReference w:id="6"/>
      </w:r>
      <w:r w:rsidR="00173D16" w:rsidRPr="004916A3">
        <w:rPr>
          <w:szCs w:val="22"/>
          <w:lang w:eastAsia="ar-SA"/>
        </w:rPr>
        <w:t>. »</w:t>
      </w:r>
    </w:p>
    <w:p w14:paraId="058D929F" w14:textId="3D432E07" w:rsidR="00165B1D" w:rsidRPr="004916A3" w:rsidRDefault="001A36B9" w:rsidP="00A123C8">
      <w:pPr>
        <w:rPr>
          <w:szCs w:val="22"/>
          <w:lang w:eastAsia="ar-SA"/>
        </w:rPr>
      </w:pPr>
      <w:r w:rsidRPr="004916A3">
        <w:rPr>
          <w:szCs w:val="22"/>
          <w:lang w:eastAsia="ar-SA"/>
        </w:rPr>
        <w:t xml:space="preserve">La méthode picturale de </w:t>
      </w:r>
      <w:proofErr w:type="spellStart"/>
      <w:r w:rsidRPr="004916A3">
        <w:rPr>
          <w:szCs w:val="22"/>
          <w:lang w:eastAsia="ar-SA"/>
        </w:rPr>
        <w:t>Piffarett</w:t>
      </w:r>
      <w:r w:rsidR="00D83FAB" w:rsidRPr="004916A3">
        <w:rPr>
          <w:szCs w:val="22"/>
          <w:lang w:eastAsia="ar-SA"/>
        </w:rPr>
        <w:t>i</w:t>
      </w:r>
      <w:proofErr w:type="spellEnd"/>
      <w:r w:rsidR="00D83FAB" w:rsidRPr="004916A3">
        <w:rPr>
          <w:szCs w:val="22"/>
          <w:lang w:eastAsia="ar-SA"/>
        </w:rPr>
        <w:t xml:space="preserve"> </w:t>
      </w:r>
      <w:r w:rsidR="00BC0E1F" w:rsidRPr="004916A3">
        <w:rPr>
          <w:szCs w:val="22"/>
          <w:lang w:eastAsia="ar-SA"/>
        </w:rPr>
        <w:t>repos</w:t>
      </w:r>
      <w:r w:rsidR="00D83FAB" w:rsidRPr="004916A3">
        <w:rPr>
          <w:szCs w:val="22"/>
          <w:lang w:eastAsia="ar-SA"/>
        </w:rPr>
        <w:t xml:space="preserve">e sur une exécution perfectionnée et rapide à la main. La main procède sans art, pourrait-on dire – mais </w:t>
      </w:r>
      <w:r w:rsidR="00BC0E1F" w:rsidRPr="004916A3">
        <w:rPr>
          <w:szCs w:val="22"/>
          <w:lang w:eastAsia="ar-SA"/>
        </w:rPr>
        <w:t>cet aspect</w:t>
      </w:r>
      <w:r w:rsidR="00D83FAB" w:rsidRPr="004916A3">
        <w:rPr>
          <w:szCs w:val="22"/>
          <w:lang w:eastAsia="ar-SA"/>
        </w:rPr>
        <w:t xml:space="preserve"> aussi est constitutif de sa position artistique –, mais avec assurance et vélocité dans la copie fluide du modèle que le peintre a sous les yeux. Aussi les deux moitiés ont-elles l’air de provenir de la même coulée : un savoir-faire artisanal, absolu</w:t>
      </w:r>
      <w:r w:rsidR="00944250" w:rsidRPr="004916A3">
        <w:rPr>
          <w:szCs w:val="22"/>
          <w:lang w:eastAsia="ar-SA"/>
        </w:rPr>
        <w:t>, mais qui ne laisse aucune place à l’improvisation et guère plus au processus : à strictement parle</w:t>
      </w:r>
      <w:r w:rsidR="00BC0E1F" w:rsidRPr="004916A3">
        <w:rPr>
          <w:szCs w:val="22"/>
          <w:lang w:eastAsia="ar-SA"/>
        </w:rPr>
        <w:t>r, les nouvelles idées ne viendro</w:t>
      </w:r>
      <w:r w:rsidR="00944250" w:rsidRPr="004916A3">
        <w:rPr>
          <w:szCs w:val="22"/>
          <w:lang w:eastAsia="ar-SA"/>
        </w:rPr>
        <w:t xml:space="preserve">nt sur le tapis qu’au tableau suivant. Avec sa peinture </w:t>
      </w:r>
      <w:r w:rsidR="00944250" w:rsidRPr="004916A3">
        <w:rPr>
          <w:i/>
          <w:szCs w:val="22"/>
          <w:lang w:eastAsia="ar-SA"/>
        </w:rPr>
        <w:t>alla prima</w:t>
      </w:r>
      <w:r w:rsidR="00944250" w:rsidRPr="004916A3">
        <w:rPr>
          <w:szCs w:val="22"/>
          <w:lang w:eastAsia="ar-SA"/>
        </w:rPr>
        <w:t xml:space="preserve"> qui présente souvent des couleurs intenses et des contrastes marqués, chaque touche, autant dire chaque trace de la genèse du tableau reste lisible à sa surface. Cela </w:t>
      </w:r>
      <w:r w:rsidR="00FA38C6" w:rsidRPr="004916A3">
        <w:rPr>
          <w:szCs w:val="22"/>
          <w:lang w:eastAsia="ar-SA"/>
        </w:rPr>
        <w:t xml:space="preserve">vaut à la fois pour des œuvres à la structure aussi complexe que deux toiles de 1998 (ill. 1 et 2 [in </w:t>
      </w:r>
      <w:r w:rsidR="00FA38C6" w:rsidRPr="004916A3">
        <w:rPr>
          <w:i/>
          <w:szCs w:val="22"/>
          <w:lang w:eastAsia="ar-SA"/>
        </w:rPr>
        <w:t>Avant/Post</w:t>
      </w:r>
      <w:r w:rsidR="00FA38C6" w:rsidRPr="004916A3">
        <w:rPr>
          <w:szCs w:val="22"/>
          <w:lang w:eastAsia="ar-SA"/>
        </w:rPr>
        <w:t>, p. 31 et 58]) et pour la</w:t>
      </w:r>
      <w:r w:rsidR="003B193E" w:rsidRPr="004916A3">
        <w:rPr>
          <w:szCs w:val="22"/>
          <w:lang w:eastAsia="ar-SA"/>
        </w:rPr>
        <w:t xml:space="preserve"> minutieuse</w:t>
      </w:r>
      <w:r w:rsidR="00FA38C6" w:rsidRPr="004916A3">
        <w:rPr>
          <w:szCs w:val="22"/>
          <w:lang w:eastAsia="ar-SA"/>
        </w:rPr>
        <w:t xml:space="preserve"> facture en aplats d’un tableau de 1990 (ill. 3 [in cat. Nice, 1991, p. 39]). Cette persistance devient même l’argument esthétique majeur d’un tableau comme </w:t>
      </w:r>
      <w:r w:rsidR="00FA38C6" w:rsidRPr="004916A3">
        <w:rPr>
          <w:i/>
          <w:szCs w:val="22"/>
          <w:lang w:eastAsia="ar-SA"/>
        </w:rPr>
        <w:t>Sans titre</w:t>
      </w:r>
      <w:r w:rsidR="00FA38C6" w:rsidRPr="004916A3">
        <w:rPr>
          <w:szCs w:val="22"/>
          <w:lang w:eastAsia="ar-SA"/>
        </w:rPr>
        <w:t xml:space="preserve"> de 1999 (ill. 4 [in </w:t>
      </w:r>
      <w:r w:rsidR="00FA38C6" w:rsidRPr="004916A3">
        <w:rPr>
          <w:i/>
          <w:szCs w:val="22"/>
          <w:lang w:eastAsia="ar-SA"/>
        </w:rPr>
        <w:t>Va-et-vient…</w:t>
      </w:r>
      <w:r w:rsidR="00FA38C6" w:rsidRPr="004916A3">
        <w:rPr>
          <w:szCs w:val="22"/>
          <w:lang w:eastAsia="ar-SA"/>
        </w:rPr>
        <w:t xml:space="preserve">, p. 97]), où, dans une simplicité calligraphique </w:t>
      </w:r>
      <w:r w:rsidR="00BC0E1F" w:rsidRPr="004916A3">
        <w:rPr>
          <w:szCs w:val="22"/>
          <w:lang w:eastAsia="ar-SA"/>
        </w:rPr>
        <w:t>qui se rapproche de l’art</w:t>
      </w:r>
      <w:r w:rsidR="00E9592E" w:rsidRPr="004916A3">
        <w:rPr>
          <w:szCs w:val="22"/>
          <w:lang w:eastAsia="ar-SA"/>
        </w:rPr>
        <w:t xml:space="preserve"> zen, </w:t>
      </w:r>
      <w:r w:rsidR="00312852" w:rsidRPr="004916A3">
        <w:rPr>
          <w:szCs w:val="22"/>
          <w:lang w:eastAsia="ar-SA"/>
        </w:rPr>
        <w:t xml:space="preserve">l’artiste se contente presque de nous faire </w:t>
      </w:r>
      <w:r w:rsidR="00E9592E" w:rsidRPr="004916A3">
        <w:rPr>
          <w:szCs w:val="22"/>
          <w:lang w:eastAsia="ar-SA"/>
        </w:rPr>
        <w:t>assister à</w:t>
      </w:r>
      <w:r w:rsidR="00312852" w:rsidRPr="004916A3">
        <w:rPr>
          <w:szCs w:val="22"/>
          <w:lang w:eastAsia="ar-SA"/>
        </w:rPr>
        <w:t xml:space="preserve"> la pure répétition d’un geste</w:t>
      </w:r>
      <w:r w:rsidR="00E9592E" w:rsidRPr="004916A3">
        <w:rPr>
          <w:szCs w:val="22"/>
          <w:lang w:eastAsia="ar-SA"/>
        </w:rPr>
        <w:t xml:space="preserve">. Peint d’une seule couleur, un vert pétrole, le tableau est divisé comme toujours en deux moitiés par une étroite bande de peinture opaque. Au milieu de chacune des deux parties, on voit deux traces de pinceau étroitement accolées : montant à la verticale depuis le bord inférieur de la toile, elles s’arrêtent à deux largeurs de </w:t>
      </w:r>
      <w:r w:rsidR="00AA0FB0" w:rsidRPr="004916A3">
        <w:rPr>
          <w:szCs w:val="22"/>
          <w:lang w:eastAsia="ar-SA"/>
        </w:rPr>
        <w:t>brosse</w:t>
      </w:r>
      <w:r w:rsidR="00E9592E" w:rsidRPr="004916A3">
        <w:rPr>
          <w:szCs w:val="22"/>
          <w:lang w:eastAsia="ar-SA"/>
        </w:rPr>
        <w:t xml:space="preserve"> du bord supérieur pour faire place à un double </w:t>
      </w:r>
      <w:r w:rsidR="00AA0FB0" w:rsidRPr="004916A3">
        <w:rPr>
          <w:szCs w:val="22"/>
          <w:lang w:eastAsia="ar-SA"/>
        </w:rPr>
        <w:t xml:space="preserve">ruban de couleur </w:t>
      </w:r>
      <w:r w:rsidR="00E9592E" w:rsidRPr="004916A3">
        <w:rPr>
          <w:szCs w:val="22"/>
          <w:lang w:eastAsia="ar-SA"/>
        </w:rPr>
        <w:t>en forme de T</w:t>
      </w:r>
      <w:r w:rsidR="00C362B9" w:rsidRPr="004916A3">
        <w:rPr>
          <w:szCs w:val="22"/>
          <w:lang w:eastAsia="ar-SA"/>
        </w:rPr>
        <w:t xml:space="preserve"> placé perpendiculairement au-dessus d’elles.</w:t>
      </w:r>
      <w:r w:rsidR="00AA0FB0" w:rsidRPr="004916A3">
        <w:rPr>
          <w:szCs w:val="22"/>
          <w:lang w:eastAsia="ar-SA"/>
        </w:rPr>
        <w:t xml:space="preserve"> Par cette disposition </w:t>
      </w:r>
      <w:r w:rsidR="00D2635B" w:rsidRPr="004916A3">
        <w:rPr>
          <w:szCs w:val="22"/>
          <w:lang w:eastAsia="ar-SA"/>
        </w:rPr>
        <w:t xml:space="preserve">d’une parfaite simplicité et clarté formelle, </w:t>
      </w:r>
      <w:proofErr w:type="spellStart"/>
      <w:r w:rsidR="00D2635B" w:rsidRPr="004916A3">
        <w:rPr>
          <w:szCs w:val="22"/>
          <w:lang w:eastAsia="ar-SA"/>
        </w:rPr>
        <w:t>Piffaretti</w:t>
      </w:r>
      <w:proofErr w:type="spellEnd"/>
      <w:r w:rsidR="00D2635B" w:rsidRPr="004916A3">
        <w:rPr>
          <w:szCs w:val="22"/>
          <w:lang w:eastAsia="ar-SA"/>
        </w:rPr>
        <w:t xml:space="preserve"> aborde, en le formalisant avec </w:t>
      </w:r>
      <w:r w:rsidR="00D2635B" w:rsidRPr="004916A3">
        <w:rPr>
          <w:szCs w:val="22"/>
          <w:lang w:eastAsia="ar-SA"/>
        </w:rPr>
        <w:lastRenderedPageBreak/>
        <w:t>rigueur, le thème d’une sorte de vocabulaire de base de ce qui détermine de façon générale les décisions dans son travail : la division, la disposition, le rapport entre bord et surface, le tracé des couleurs, la monochromie ou la polychromie, et, bien entendu, la répétition. C’est tout cela que l’artiste énonce</w:t>
      </w:r>
      <w:r w:rsidR="00875F16" w:rsidRPr="004916A3">
        <w:rPr>
          <w:szCs w:val="22"/>
          <w:lang w:eastAsia="ar-SA"/>
        </w:rPr>
        <w:t xml:space="preserve"> ici, </w:t>
      </w:r>
      <w:r w:rsidR="00D2635B" w:rsidRPr="004916A3">
        <w:rPr>
          <w:szCs w:val="22"/>
          <w:lang w:eastAsia="ar-SA"/>
        </w:rPr>
        <w:t xml:space="preserve">pratiquement à l’infinitif. Dans les </w:t>
      </w:r>
      <w:proofErr w:type="spellStart"/>
      <w:r w:rsidR="00D2635B" w:rsidRPr="004916A3">
        <w:rPr>
          <w:i/>
          <w:szCs w:val="22"/>
          <w:lang w:eastAsia="ar-SA"/>
        </w:rPr>
        <w:t>dripping</w:t>
      </w:r>
      <w:r w:rsidR="006F246D" w:rsidRPr="004916A3">
        <w:rPr>
          <w:i/>
          <w:szCs w:val="22"/>
          <w:lang w:eastAsia="ar-SA"/>
        </w:rPr>
        <w:t>s</w:t>
      </w:r>
      <w:proofErr w:type="spellEnd"/>
      <w:r w:rsidR="00D2635B" w:rsidRPr="004916A3">
        <w:rPr>
          <w:szCs w:val="22"/>
          <w:lang w:eastAsia="ar-SA"/>
        </w:rPr>
        <w:t xml:space="preserve"> dont l</w:t>
      </w:r>
      <w:r w:rsidR="006F246D" w:rsidRPr="004916A3">
        <w:rPr>
          <w:szCs w:val="22"/>
          <w:lang w:eastAsia="ar-SA"/>
        </w:rPr>
        <w:t xml:space="preserve">e </w:t>
      </w:r>
      <w:r w:rsidR="0040202B" w:rsidRPr="004916A3">
        <w:rPr>
          <w:szCs w:val="22"/>
          <w:lang w:eastAsia="ar-SA"/>
        </w:rPr>
        <w:t>dessin</w:t>
      </w:r>
      <w:r w:rsidR="00D2635B" w:rsidRPr="004916A3">
        <w:rPr>
          <w:szCs w:val="22"/>
          <w:lang w:eastAsia="ar-SA"/>
        </w:rPr>
        <w:t xml:space="preserve"> diffère légèrement à droite et à gauche et dans l’épaisseur variable de la couche de peinture</w:t>
      </w:r>
      <w:r w:rsidR="00875F16" w:rsidRPr="004916A3">
        <w:rPr>
          <w:szCs w:val="22"/>
          <w:lang w:eastAsia="ar-SA"/>
        </w:rPr>
        <w:t xml:space="preserve">, la répétition se reflète en tant qu’élément de l’action. </w:t>
      </w:r>
      <w:r w:rsidR="0040202B" w:rsidRPr="004916A3">
        <w:rPr>
          <w:szCs w:val="22"/>
          <w:lang w:eastAsia="ar-SA"/>
        </w:rPr>
        <w:t xml:space="preserve">C’est </w:t>
      </w:r>
      <w:r w:rsidR="00875F16" w:rsidRPr="004916A3">
        <w:rPr>
          <w:szCs w:val="22"/>
          <w:lang w:eastAsia="ar-SA"/>
        </w:rPr>
        <w:t xml:space="preserve">une des clés pour comprendre le travail de </w:t>
      </w:r>
      <w:proofErr w:type="spellStart"/>
      <w:r w:rsidR="00875F16" w:rsidRPr="004916A3">
        <w:rPr>
          <w:szCs w:val="22"/>
          <w:lang w:eastAsia="ar-SA"/>
        </w:rPr>
        <w:t>Piffaretti</w:t>
      </w:r>
      <w:proofErr w:type="spellEnd"/>
      <w:r w:rsidR="00875F16" w:rsidRPr="004916A3">
        <w:rPr>
          <w:szCs w:val="22"/>
          <w:lang w:eastAsia="ar-SA"/>
        </w:rPr>
        <w:t> : il ne s’agit pas simplement de dupliquer un tableau, de créer une chose identique à elle</w:t>
      </w:r>
      <w:r w:rsidR="0040202B" w:rsidRPr="004916A3">
        <w:rPr>
          <w:szCs w:val="22"/>
          <w:lang w:eastAsia="ar-SA"/>
        </w:rPr>
        <w:t>-m</w:t>
      </w:r>
      <w:r w:rsidR="00312852" w:rsidRPr="004916A3">
        <w:rPr>
          <w:szCs w:val="22"/>
          <w:lang w:eastAsia="ar-SA"/>
        </w:rPr>
        <w:t>ême – ce qui est certes le cas –,</w:t>
      </w:r>
      <w:r w:rsidR="00875F16" w:rsidRPr="004916A3">
        <w:rPr>
          <w:szCs w:val="22"/>
          <w:lang w:eastAsia="ar-SA"/>
        </w:rPr>
        <w:t xml:space="preserve"> il s’agit toujours </w:t>
      </w:r>
      <w:r w:rsidR="0040202B" w:rsidRPr="004916A3">
        <w:rPr>
          <w:szCs w:val="22"/>
          <w:lang w:eastAsia="ar-SA"/>
        </w:rPr>
        <w:t xml:space="preserve">et avant tout </w:t>
      </w:r>
      <w:r w:rsidR="00875F16" w:rsidRPr="004916A3">
        <w:rPr>
          <w:szCs w:val="22"/>
          <w:lang w:eastAsia="ar-SA"/>
        </w:rPr>
        <w:t xml:space="preserve">de </w:t>
      </w:r>
      <w:r w:rsidR="00875F16" w:rsidRPr="004916A3">
        <w:rPr>
          <w:i/>
          <w:szCs w:val="22"/>
          <w:lang w:eastAsia="ar-SA"/>
        </w:rPr>
        <w:t>peindre</w:t>
      </w:r>
      <w:r w:rsidR="00875F16" w:rsidRPr="004916A3">
        <w:rPr>
          <w:szCs w:val="22"/>
          <w:lang w:eastAsia="ar-SA"/>
        </w:rPr>
        <w:t xml:space="preserve"> un tableau une deuxième fois. </w:t>
      </w:r>
      <w:r w:rsidR="00312852" w:rsidRPr="004916A3">
        <w:rPr>
          <w:szCs w:val="22"/>
          <w:lang w:eastAsia="ar-SA"/>
        </w:rPr>
        <w:t>C</w:t>
      </w:r>
      <w:r w:rsidR="0040202B" w:rsidRPr="004916A3">
        <w:rPr>
          <w:szCs w:val="22"/>
          <w:lang w:eastAsia="ar-SA"/>
        </w:rPr>
        <w:t>e principe fondamental de</w:t>
      </w:r>
      <w:r w:rsidR="00312852" w:rsidRPr="004916A3">
        <w:rPr>
          <w:szCs w:val="22"/>
          <w:lang w:eastAsia="ar-SA"/>
        </w:rPr>
        <w:t xml:space="preserve"> la démarche de </w:t>
      </w:r>
      <w:proofErr w:type="spellStart"/>
      <w:r w:rsidR="00312852" w:rsidRPr="004916A3">
        <w:rPr>
          <w:szCs w:val="22"/>
          <w:lang w:eastAsia="ar-SA"/>
        </w:rPr>
        <w:t>Piffaretti</w:t>
      </w:r>
      <w:proofErr w:type="spellEnd"/>
      <w:r w:rsidR="00312852" w:rsidRPr="004916A3">
        <w:rPr>
          <w:szCs w:val="22"/>
          <w:lang w:eastAsia="ar-SA"/>
        </w:rPr>
        <w:t xml:space="preserve">, le </w:t>
      </w:r>
      <w:r w:rsidR="00312852" w:rsidRPr="004916A3">
        <w:rPr>
          <w:i/>
          <w:szCs w:val="22"/>
          <w:lang w:eastAsia="ar-SA"/>
        </w:rPr>
        <w:t>Sans titre</w:t>
      </w:r>
      <w:r w:rsidR="00312852" w:rsidRPr="004916A3">
        <w:rPr>
          <w:szCs w:val="22"/>
          <w:lang w:eastAsia="ar-SA"/>
        </w:rPr>
        <w:t xml:space="preserve"> de 1999 justement évoqué vient en quelque sorte le souligner d’un point d’exclamation.</w:t>
      </w:r>
    </w:p>
    <w:p w14:paraId="4DBD7535" w14:textId="759003C0" w:rsidR="00875F16" w:rsidRPr="004916A3" w:rsidRDefault="00E1571E" w:rsidP="00A123C8">
      <w:pPr>
        <w:rPr>
          <w:szCs w:val="22"/>
          <w:lang w:eastAsia="ar-SA"/>
        </w:rPr>
      </w:pPr>
      <w:r w:rsidRPr="004916A3">
        <w:rPr>
          <w:szCs w:val="22"/>
          <w:lang w:eastAsia="ar-SA"/>
        </w:rPr>
        <w:t xml:space="preserve">Devant cette œuvre, on </w:t>
      </w:r>
      <w:r w:rsidR="0040202B" w:rsidRPr="004916A3">
        <w:rPr>
          <w:szCs w:val="22"/>
          <w:lang w:eastAsia="ar-SA"/>
        </w:rPr>
        <w:t>peut être pris de vertige et</w:t>
      </w:r>
      <w:r w:rsidRPr="004916A3">
        <w:rPr>
          <w:szCs w:val="22"/>
          <w:lang w:eastAsia="ar-SA"/>
        </w:rPr>
        <w:t xml:space="preserve"> se perdre dans la multiplicité des idées visuelles, et plus on voit de tableaux de </w:t>
      </w:r>
      <w:proofErr w:type="spellStart"/>
      <w:r w:rsidRPr="004916A3">
        <w:rPr>
          <w:szCs w:val="22"/>
          <w:lang w:eastAsia="ar-SA"/>
        </w:rPr>
        <w:t>Piffaretti</w:t>
      </w:r>
      <w:proofErr w:type="spellEnd"/>
      <w:r w:rsidRPr="004916A3">
        <w:rPr>
          <w:szCs w:val="22"/>
          <w:lang w:eastAsia="ar-SA"/>
        </w:rPr>
        <w:t>, plus on se met à en aimer la diversité, leur plaisir à surprendre, leur sécheresse parfois, et, encore et sans fin, leur laconisme</w:t>
      </w:r>
      <w:r w:rsidR="0040202B" w:rsidRPr="004916A3">
        <w:rPr>
          <w:szCs w:val="22"/>
          <w:lang w:eastAsia="ar-SA"/>
        </w:rPr>
        <w:t xml:space="preserve"> ou leur concision</w:t>
      </w:r>
      <w:r w:rsidRPr="004916A3">
        <w:rPr>
          <w:szCs w:val="22"/>
          <w:lang w:eastAsia="ar-SA"/>
        </w:rPr>
        <w:t>. On se trouve donc, d’un côté, face à une peinture strictement conceptuelle</w:t>
      </w:r>
      <w:r w:rsidR="003872E7" w:rsidRPr="004916A3">
        <w:rPr>
          <w:szCs w:val="22"/>
          <w:lang w:eastAsia="ar-SA"/>
        </w:rPr>
        <w:t xml:space="preserve">. Mais à suivre le parcours de cette identité toujours </w:t>
      </w:r>
      <w:r w:rsidR="0040202B" w:rsidRPr="004916A3">
        <w:rPr>
          <w:szCs w:val="22"/>
          <w:lang w:eastAsia="ar-SA"/>
        </w:rPr>
        <w:t>réassumée</w:t>
      </w:r>
      <w:r w:rsidR="003872E7" w:rsidRPr="004916A3">
        <w:rPr>
          <w:szCs w:val="22"/>
          <w:lang w:eastAsia="ar-SA"/>
        </w:rPr>
        <w:t xml:space="preserve"> d’actes picturaux abstraits, on voit également s’ouvrir ici un espace d’une étendue insoupçonnée </w:t>
      </w:r>
      <w:r w:rsidR="0040202B" w:rsidRPr="004916A3">
        <w:rPr>
          <w:szCs w:val="22"/>
          <w:lang w:eastAsia="ar-SA"/>
        </w:rPr>
        <w:t>où les</w:t>
      </w:r>
      <w:r w:rsidR="003872E7" w:rsidRPr="004916A3">
        <w:rPr>
          <w:szCs w:val="22"/>
          <w:lang w:eastAsia="ar-SA"/>
        </w:rPr>
        <w:t xml:space="preserve"> styles</w:t>
      </w:r>
      <w:r w:rsidR="0040202B" w:rsidRPr="004916A3">
        <w:rPr>
          <w:szCs w:val="22"/>
          <w:lang w:eastAsia="ar-SA"/>
        </w:rPr>
        <w:t xml:space="preserve"> peuvent proliférer et varier à loisir</w:t>
      </w:r>
      <w:r w:rsidR="003872E7" w:rsidRPr="004916A3">
        <w:rPr>
          <w:szCs w:val="22"/>
          <w:lang w:eastAsia="ar-SA"/>
        </w:rPr>
        <w:t>. Cela s’exprime de façon particulièrement plastique dans quelques-uns de</w:t>
      </w:r>
      <w:r w:rsidR="0040202B" w:rsidRPr="004916A3">
        <w:rPr>
          <w:szCs w:val="22"/>
          <w:lang w:eastAsia="ar-SA"/>
        </w:rPr>
        <w:t xml:space="preserve"> se</w:t>
      </w:r>
      <w:r w:rsidR="003872E7" w:rsidRPr="004916A3">
        <w:rPr>
          <w:szCs w:val="22"/>
          <w:lang w:eastAsia="ar-SA"/>
        </w:rPr>
        <w:t xml:space="preserve">s tableaux avec des écritures, par exemple dans </w:t>
      </w:r>
      <w:r w:rsidR="003872E7" w:rsidRPr="004916A3">
        <w:rPr>
          <w:i/>
          <w:szCs w:val="22"/>
          <w:lang w:eastAsia="ar-SA"/>
        </w:rPr>
        <w:t>Sans titre</w:t>
      </w:r>
      <w:r w:rsidR="003872E7" w:rsidRPr="004916A3">
        <w:rPr>
          <w:szCs w:val="22"/>
          <w:lang w:eastAsia="ar-SA"/>
        </w:rPr>
        <w:t xml:space="preserve"> (2008, ill. 5 [in </w:t>
      </w:r>
      <w:r w:rsidR="003872E7" w:rsidRPr="004916A3">
        <w:rPr>
          <w:i/>
          <w:szCs w:val="22"/>
          <w:lang w:eastAsia="ar-SA"/>
        </w:rPr>
        <w:t>Avant/Post</w:t>
      </w:r>
      <w:r w:rsidR="003872E7" w:rsidRPr="004916A3">
        <w:rPr>
          <w:szCs w:val="22"/>
          <w:lang w:eastAsia="ar-SA"/>
        </w:rPr>
        <w:t xml:space="preserve">, p. 19]) ou dans </w:t>
      </w:r>
      <w:r w:rsidR="003872E7" w:rsidRPr="004916A3">
        <w:rPr>
          <w:i/>
          <w:szCs w:val="22"/>
          <w:lang w:eastAsia="ar-SA"/>
        </w:rPr>
        <w:t>Sans titre</w:t>
      </w:r>
      <w:r w:rsidR="0004603E" w:rsidRPr="004916A3">
        <w:rPr>
          <w:szCs w:val="22"/>
          <w:lang w:eastAsia="ar-SA"/>
        </w:rPr>
        <w:t xml:space="preserve"> (2003</w:t>
      </w:r>
      <w:r w:rsidR="003872E7" w:rsidRPr="004916A3">
        <w:rPr>
          <w:szCs w:val="22"/>
          <w:lang w:eastAsia="ar-SA"/>
        </w:rPr>
        <w:t>, ill. 5 [</w:t>
      </w:r>
      <w:proofErr w:type="spellStart"/>
      <w:r w:rsidR="0004603E" w:rsidRPr="004916A3">
        <w:rPr>
          <w:szCs w:val="22"/>
          <w:lang w:eastAsia="ar-SA"/>
        </w:rPr>
        <w:t>Website</w:t>
      </w:r>
      <w:proofErr w:type="spellEnd"/>
      <w:r w:rsidR="003872E7" w:rsidRPr="004916A3">
        <w:rPr>
          <w:szCs w:val="22"/>
          <w:lang w:eastAsia="ar-SA"/>
        </w:rPr>
        <w:t>])</w:t>
      </w:r>
      <w:r w:rsidR="0004603E" w:rsidRPr="004916A3">
        <w:rPr>
          <w:szCs w:val="22"/>
          <w:lang w:eastAsia="ar-SA"/>
        </w:rPr>
        <w:t>. Sur cette dernière toile, l’inscription ALIAS se duplique en points blancs sur fond vert. Si on le voit comme une juxtaposition, c’est un beau tableau de l’itération infinie à laquelle aboutit l’identité postulée – mais si on le considère comme une répétition, c’est en même temps l’exemple de cette différence (d’action) qui</w:t>
      </w:r>
      <w:r w:rsidR="0040202B" w:rsidRPr="004916A3">
        <w:rPr>
          <w:szCs w:val="22"/>
          <w:lang w:eastAsia="ar-SA"/>
        </w:rPr>
        <w:t xml:space="preserve"> le constitue et</w:t>
      </w:r>
      <w:r w:rsidR="0004603E" w:rsidRPr="004916A3">
        <w:rPr>
          <w:szCs w:val="22"/>
          <w:lang w:eastAsia="ar-SA"/>
        </w:rPr>
        <w:t xml:space="preserve"> </w:t>
      </w:r>
      <w:r w:rsidR="005E26B6" w:rsidRPr="004916A3">
        <w:rPr>
          <w:szCs w:val="22"/>
          <w:lang w:eastAsia="ar-SA"/>
        </w:rPr>
        <w:t xml:space="preserve">l’habite. </w:t>
      </w:r>
      <w:r w:rsidR="0040202B" w:rsidRPr="004916A3">
        <w:rPr>
          <w:szCs w:val="22"/>
          <w:lang w:eastAsia="ar-SA"/>
        </w:rPr>
        <w:t>Quant au</w:t>
      </w:r>
      <w:r w:rsidR="005E26B6" w:rsidRPr="004916A3">
        <w:rPr>
          <w:szCs w:val="22"/>
          <w:lang w:eastAsia="ar-SA"/>
        </w:rPr>
        <w:t xml:space="preserve"> premier tableau</w:t>
      </w:r>
      <w:r w:rsidR="0040202B" w:rsidRPr="004916A3">
        <w:rPr>
          <w:szCs w:val="22"/>
          <w:lang w:eastAsia="ar-SA"/>
        </w:rPr>
        <w:t xml:space="preserve">, il </w:t>
      </w:r>
      <w:r w:rsidR="005E26B6" w:rsidRPr="004916A3">
        <w:rPr>
          <w:szCs w:val="22"/>
          <w:lang w:eastAsia="ar-SA"/>
        </w:rPr>
        <w:t>a pratiquement valeur de programme : en lettres majuscules de couleur noire, deux marqueurs d’époque d’usage courant, « Avant » et « Post »</w:t>
      </w:r>
      <w:r w:rsidR="00312852" w:rsidRPr="004916A3">
        <w:rPr>
          <w:szCs w:val="22"/>
          <w:lang w:eastAsia="ar-SA"/>
        </w:rPr>
        <w:t>,</w:t>
      </w:r>
      <w:r w:rsidR="005E26B6" w:rsidRPr="004916A3">
        <w:rPr>
          <w:szCs w:val="22"/>
          <w:lang w:eastAsia="ar-SA"/>
        </w:rPr>
        <w:t xml:space="preserve"> s’introduisent en dansant </w:t>
      </w:r>
      <w:r w:rsidR="00D31F74" w:rsidRPr="004916A3">
        <w:rPr>
          <w:szCs w:val="22"/>
          <w:lang w:eastAsia="ar-SA"/>
        </w:rPr>
        <w:t>dans l’image depuis le bord supérieur du tableau, le A initial est à demi coupé, le T qui est à l’intersection des deux préfixes n’est présent q</w:t>
      </w:r>
      <w:r w:rsidR="00312852" w:rsidRPr="004916A3">
        <w:rPr>
          <w:szCs w:val="22"/>
          <w:lang w:eastAsia="ar-SA"/>
        </w:rPr>
        <w:t>u’une seule fois. Si l’on sui</w:t>
      </w:r>
      <w:r w:rsidR="00D31F74" w:rsidRPr="004916A3">
        <w:rPr>
          <w:szCs w:val="22"/>
          <w:lang w:eastAsia="ar-SA"/>
        </w:rPr>
        <w:t xml:space="preserve">t le texte dans sa linéarité verticale, on devrait alors écrire « AVANTSOP », et c’est seulement sur la surface peinte que l’on peut intuitivement lire « AVANT/POST » – grâce à une autre forme de linéarité, disposée en courbe, où les deux termes antinomiques </w:t>
      </w:r>
      <w:r w:rsidR="00C30FDA" w:rsidRPr="004916A3">
        <w:rPr>
          <w:szCs w:val="22"/>
          <w:lang w:eastAsia="ar-SA"/>
        </w:rPr>
        <w:t>se rapprochent l’un de l’autre jusqu’à converger pour fi</w:t>
      </w:r>
      <w:r w:rsidR="00557C9B" w:rsidRPr="004916A3">
        <w:rPr>
          <w:szCs w:val="22"/>
          <w:lang w:eastAsia="ar-SA"/>
        </w:rPr>
        <w:t>nir dans le T</w:t>
      </w:r>
      <w:r w:rsidR="00C30FDA" w:rsidRPr="004916A3">
        <w:rPr>
          <w:szCs w:val="22"/>
          <w:lang w:eastAsia="ar-SA"/>
        </w:rPr>
        <w:t>,</w:t>
      </w:r>
      <w:r w:rsidR="00557C9B" w:rsidRPr="004916A3">
        <w:rPr>
          <w:szCs w:val="22"/>
          <w:lang w:eastAsia="ar-SA"/>
        </w:rPr>
        <w:t xml:space="preserve"> où</w:t>
      </w:r>
      <w:r w:rsidR="00C30FDA" w:rsidRPr="004916A3">
        <w:rPr>
          <w:szCs w:val="22"/>
          <w:lang w:eastAsia="ar-SA"/>
        </w:rPr>
        <w:t xml:space="preserve"> l’avant-garde et le postmoderne se touchent. Mais pour quelle conclusion ? Il se pourrait que </w:t>
      </w:r>
      <w:proofErr w:type="spellStart"/>
      <w:r w:rsidR="00C30FDA" w:rsidRPr="004916A3">
        <w:rPr>
          <w:szCs w:val="22"/>
          <w:lang w:eastAsia="ar-SA"/>
        </w:rPr>
        <w:t>Piffaretti</w:t>
      </w:r>
      <w:proofErr w:type="spellEnd"/>
      <w:r w:rsidR="00C30FDA" w:rsidRPr="004916A3">
        <w:rPr>
          <w:szCs w:val="22"/>
          <w:lang w:eastAsia="ar-SA"/>
        </w:rPr>
        <w:t xml:space="preserve"> se révèle après tout comme l’un des rares représentants de l’« après-garde</w:t>
      </w:r>
      <w:r w:rsidR="00C30FDA" w:rsidRPr="004916A3">
        <w:rPr>
          <w:rStyle w:val="Appelnotedebasdep"/>
          <w:szCs w:val="22"/>
          <w:lang w:eastAsia="ar-SA"/>
        </w:rPr>
        <w:footnoteReference w:id="7"/>
      </w:r>
      <w:r w:rsidR="00C30FDA" w:rsidRPr="004916A3">
        <w:rPr>
          <w:szCs w:val="22"/>
          <w:lang w:eastAsia="ar-SA"/>
        </w:rPr>
        <w:t> » esthétique rigoureuse.</w:t>
      </w:r>
    </w:p>
    <w:p w14:paraId="2B0DDBAB" w14:textId="77777777" w:rsidR="00173D16" w:rsidRPr="004916A3" w:rsidRDefault="00173D16">
      <w:pPr>
        <w:rPr>
          <w:szCs w:val="22"/>
        </w:rPr>
      </w:pPr>
    </w:p>
    <w:p w14:paraId="4DB0F255" w14:textId="77777777" w:rsidR="00173D16" w:rsidRPr="00173D16" w:rsidRDefault="00173D16" w:rsidP="00173D16">
      <w:pPr>
        <w:jc w:val="right"/>
        <w:rPr>
          <w:szCs w:val="22"/>
        </w:rPr>
      </w:pPr>
      <w:r w:rsidRPr="004916A3">
        <w:rPr>
          <w:szCs w:val="22"/>
        </w:rPr>
        <w:t>(</w:t>
      </w:r>
      <w:proofErr w:type="gramStart"/>
      <w:r w:rsidRPr="004916A3">
        <w:rPr>
          <w:szCs w:val="22"/>
        </w:rPr>
        <w:t>traduit</w:t>
      </w:r>
      <w:proofErr w:type="gramEnd"/>
      <w:r w:rsidRPr="004916A3">
        <w:rPr>
          <w:szCs w:val="22"/>
        </w:rPr>
        <w:t xml:space="preserve"> de l’allemand par Jean Torrent)</w:t>
      </w:r>
    </w:p>
    <w:sectPr w:rsidR="00173D16" w:rsidRPr="00173D16" w:rsidSect="002318A6">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42BF" w14:textId="77777777" w:rsidR="00F13FFF" w:rsidRDefault="00F13FFF" w:rsidP="002318A6">
      <w:pPr>
        <w:spacing w:line="240" w:lineRule="auto"/>
      </w:pPr>
      <w:r>
        <w:separator/>
      </w:r>
    </w:p>
  </w:endnote>
  <w:endnote w:type="continuationSeparator" w:id="0">
    <w:p w14:paraId="69CEB9A6" w14:textId="77777777" w:rsidR="00F13FFF" w:rsidRDefault="00F13FFF" w:rsidP="00231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AE921" w14:textId="77777777" w:rsidR="00F13FFF" w:rsidRDefault="00F13FFF" w:rsidP="002318A6">
      <w:pPr>
        <w:spacing w:line="240" w:lineRule="auto"/>
      </w:pPr>
      <w:r>
        <w:separator/>
      </w:r>
    </w:p>
  </w:footnote>
  <w:footnote w:type="continuationSeparator" w:id="0">
    <w:p w14:paraId="10B0392F" w14:textId="77777777" w:rsidR="00F13FFF" w:rsidRDefault="00F13FFF" w:rsidP="002318A6">
      <w:pPr>
        <w:spacing w:line="240" w:lineRule="auto"/>
      </w:pPr>
      <w:r>
        <w:continuationSeparator/>
      </w:r>
    </w:p>
  </w:footnote>
  <w:footnote w:id="1">
    <w:p w14:paraId="0B02F108" w14:textId="0678CFE3" w:rsidR="00312852" w:rsidRPr="00EC0B55" w:rsidRDefault="00312852">
      <w:pPr>
        <w:pStyle w:val="Notedebasdepage"/>
        <w:rPr>
          <w:szCs w:val="20"/>
        </w:rPr>
      </w:pPr>
      <w:r w:rsidRPr="00EC0B55">
        <w:rPr>
          <w:rStyle w:val="Appelnotedebasdep"/>
          <w:szCs w:val="20"/>
        </w:rPr>
        <w:footnoteRef/>
      </w:r>
      <w:r w:rsidRPr="00EC0B55">
        <w:rPr>
          <w:szCs w:val="20"/>
        </w:rPr>
        <w:t xml:space="preserve"> Le milieu des années 1980 a été dominé par un esprit postmoderne, des leitmotive comme « la mort de l’auteur » ou, sans cesse (et toujours hâtivement) proclamée, « la fin de la peinture » imprimaient leur marque à tous les débats. Des théoriciens comme Jean-François </w:t>
      </w:r>
      <w:proofErr w:type="spellStart"/>
      <w:r w:rsidRPr="00EC0B55">
        <w:rPr>
          <w:szCs w:val="20"/>
        </w:rPr>
        <w:t>Lyotard</w:t>
      </w:r>
      <w:proofErr w:type="spellEnd"/>
      <w:r w:rsidRPr="00EC0B55">
        <w:rPr>
          <w:szCs w:val="20"/>
        </w:rPr>
        <w:t xml:space="preserve"> ont ébauché des théories de l’affirmation comme résistance, tandis que florissait la doctrine du « tout se vaut » (le « </w:t>
      </w:r>
      <w:proofErr w:type="spellStart"/>
      <w:r w:rsidRPr="00EC0B55">
        <w:rPr>
          <w:i/>
          <w:szCs w:val="20"/>
        </w:rPr>
        <w:t>Anything</w:t>
      </w:r>
      <w:proofErr w:type="spellEnd"/>
      <w:r w:rsidRPr="00EC0B55">
        <w:rPr>
          <w:i/>
          <w:szCs w:val="20"/>
        </w:rPr>
        <w:t xml:space="preserve"> </w:t>
      </w:r>
      <w:proofErr w:type="spellStart"/>
      <w:r w:rsidRPr="00EC0B55">
        <w:rPr>
          <w:i/>
          <w:szCs w:val="20"/>
        </w:rPr>
        <w:t>goes</w:t>
      </w:r>
      <w:proofErr w:type="spellEnd"/>
      <w:r w:rsidRPr="00EC0B55">
        <w:rPr>
          <w:szCs w:val="20"/>
        </w:rPr>
        <w:t xml:space="preserve"> » emprunté au traité </w:t>
      </w:r>
      <w:r w:rsidRPr="00EC0B55">
        <w:rPr>
          <w:i/>
          <w:szCs w:val="20"/>
        </w:rPr>
        <w:t>Contre la méthode</w:t>
      </w:r>
      <w:r w:rsidRPr="00EC0B55">
        <w:rPr>
          <w:szCs w:val="20"/>
        </w:rPr>
        <w:t xml:space="preserve"> [1975] et à son « anarchisme épistémologique » du philosophe des sciences Paul Feyerabend)</w:t>
      </w:r>
      <w:r w:rsidR="00EC0B55">
        <w:rPr>
          <w:szCs w:val="20"/>
        </w:rPr>
        <w:t>. Il n’est pas improbable que le</w:t>
      </w:r>
      <w:r w:rsidRPr="00EC0B55">
        <w:rPr>
          <w:szCs w:val="20"/>
        </w:rPr>
        <w:t xml:space="preserve"> projet</w:t>
      </w:r>
      <w:r w:rsidR="00EC0B55">
        <w:rPr>
          <w:szCs w:val="20"/>
        </w:rPr>
        <w:t xml:space="preserve"> de </w:t>
      </w:r>
      <w:proofErr w:type="spellStart"/>
      <w:r w:rsidR="00EC0B55">
        <w:rPr>
          <w:szCs w:val="20"/>
        </w:rPr>
        <w:t>Piffaretti</w:t>
      </w:r>
      <w:proofErr w:type="spellEnd"/>
      <w:r w:rsidR="00EC0B55">
        <w:rPr>
          <w:szCs w:val="20"/>
        </w:rPr>
        <w:t xml:space="preserve"> se soit enflammé</w:t>
      </w:r>
      <w:r w:rsidRPr="00EC0B55">
        <w:rPr>
          <w:szCs w:val="20"/>
        </w:rPr>
        <w:t xml:space="preserve"> au contact des questions caractéristiques de cette période, par exemple celle de l’auteur et d’une subjectivité autonome, remise en cause par un « ordre du discours » (Michel Foucault) alors hégémonique. La pratique artistique de </w:t>
      </w:r>
      <w:proofErr w:type="spellStart"/>
      <w:r w:rsidRPr="00EC0B55">
        <w:rPr>
          <w:szCs w:val="20"/>
        </w:rPr>
        <w:t>Piffaretti</w:t>
      </w:r>
      <w:proofErr w:type="spellEnd"/>
      <w:r w:rsidRPr="00EC0B55">
        <w:rPr>
          <w:szCs w:val="20"/>
        </w:rPr>
        <w:t xml:space="preserve">, par l’affirmation de propositions visuelles en elles-mêmes sans origine et de leur double, neutralise l’authenticité et le caractère d’autorité de la peinture – tout en les affirmant aussi sur un autre plan, car l’attelage de l’« original » et de son « imitation » devient ici un </w:t>
      </w:r>
      <w:r w:rsidRPr="00EC0B55">
        <w:rPr>
          <w:i/>
          <w:szCs w:val="20"/>
        </w:rPr>
        <w:t>seul et même</w:t>
      </w:r>
      <w:r w:rsidRPr="00EC0B55">
        <w:rPr>
          <w:szCs w:val="20"/>
        </w:rPr>
        <w:t xml:space="preserve"> tableau, qui se scinde et se duplique comme dans une division cellulaire picturale. Son origine arbitraire s’en trouve abolie ou dépassée et reste formellement en suspens.</w:t>
      </w:r>
    </w:p>
  </w:footnote>
  <w:footnote w:id="2">
    <w:p w14:paraId="1AFAB449" w14:textId="12230855" w:rsidR="00312852" w:rsidRPr="00EC0B55" w:rsidRDefault="00312852">
      <w:pPr>
        <w:pStyle w:val="Notedebasdepage"/>
        <w:rPr>
          <w:szCs w:val="20"/>
        </w:rPr>
      </w:pPr>
      <w:r w:rsidRPr="00EC0B55">
        <w:rPr>
          <w:rStyle w:val="Appelnotedebasdep"/>
          <w:szCs w:val="20"/>
        </w:rPr>
        <w:footnoteRef/>
      </w:r>
      <w:r w:rsidRPr="00EC0B55">
        <w:rPr>
          <w:szCs w:val="20"/>
        </w:rPr>
        <w:t xml:space="preserve"> </w:t>
      </w:r>
      <w:r w:rsidRPr="00EC0B55">
        <w:rPr>
          <w:szCs w:val="20"/>
          <w:lang w:eastAsia="ar-SA"/>
        </w:rPr>
        <w:t>« </w:t>
      </w:r>
      <w:r w:rsidR="00EC0B55">
        <w:rPr>
          <w:szCs w:val="20"/>
          <w:lang w:eastAsia="ar-SA"/>
        </w:rPr>
        <w:t>[</w:t>
      </w:r>
      <w:r w:rsidRPr="00EC0B55">
        <w:rPr>
          <w:szCs w:val="20"/>
          <w:lang w:eastAsia="ar-SA"/>
        </w:rPr>
        <w:t>…</w:t>
      </w:r>
      <w:r w:rsidR="00EC0B55">
        <w:rPr>
          <w:szCs w:val="20"/>
          <w:lang w:eastAsia="ar-SA"/>
        </w:rPr>
        <w:t xml:space="preserve">] </w:t>
      </w:r>
      <w:r w:rsidRPr="00EC0B55">
        <w:rPr>
          <w:szCs w:val="20"/>
          <w:lang w:eastAsia="ar-SA"/>
        </w:rPr>
        <w:t xml:space="preserve">on </w:t>
      </w:r>
      <w:r w:rsidR="00EC0B55">
        <w:rPr>
          <w:szCs w:val="20"/>
          <w:lang w:eastAsia="ar-SA"/>
        </w:rPr>
        <w:t>ne</w:t>
      </w:r>
      <w:r w:rsidRPr="00EC0B55">
        <w:rPr>
          <w:szCs w:val="20"/>
          <w:lang w:eastAsia="ar-SA"/>
        </w:rPr>
        <w:t xml:space="preserve"> peut plus établir la chronologie des peintures. Tous le</w:t>
      </w:r>
      <w:r w:rsidR="00EC0B55">
        <w:rPr>
          <w:szCs w:val="20"/>
          <w:lang w:eastAsia="ar-SA"/>
        </w:rPr>
        <w:t>s</w:t>
      </w:r>
      <w:r w:rsidRPr="00EC0B55">
        <w:rPr>
          <w:szCs w:val="20"/>
          <w:lang w:eastAsia="ar-SA"/>
        </w:rPr>
        <w:t xml:space="preserve"> tableaux sont datés, répertoriés, mais visuellement il n’y a plus de chronologie possible. » Bernard </w:t>
      </w:r>
      <w:proofErr w:type="spellStart"/>
      <w:r w:rsidRPr="00EC0B55">
        <w:rPr>
          <w:szCs w:val="20"/>
          <w:lang w:eastAsia="ar-SA"/>
        </w:rPr>
        <w:t>Piffaretti</w:t>
      </w:r>
      <w:proofErr w:type="spellEnd"/>
      <w:r w:rsidRPr="00EC0B55">
        <w:rPr>
          <w:szCs w:val="20"/>
          <w:lang w:eastAsia="ar-SA"/>
        </w:rPr>
        <w:t xml:space="preserve">, dans un entretien avec Werner Meyer, in </w:t>
      </w:r>
      <w:r w:rsidRPr="00EC0B55">
        <w:rPr>
          <w:i/>
          <w:szCs w:val="20"/>
          <w:lang w:eastAsia="ar-SA"/>
        </w:rPr>
        <w:t xml:space="preserve">Bernard </w:t>
      </w:r>
      <w:proofErr w:type="spellStart"/>
      <w:r w:rsidRPr="00EC0B55">
        <w:rPr>
          <w:i/>
          <w:szCs w:val="20"/>
          <w:lang w:eastAsia="ar-SA"/>
        </w:rPr>
        <w:t>Piffaretti</w:t>
      </w:r>
      <w:proofErr w:type="spellEnd"/>
      <w:r w:rsidRPr="00EC0B55">
        <w:rPr>
          <w:i/>
          <w:szCs w:val="20"/>
          <w:lang w:eastAsia="ar-SA"/>
        </w:rPr>
        <w:t>. Tableaux 1982–1990</w:t>
      </w:r>
      <w:r w:rsidRPr="00EC0B55">
        <w:rPr>
          <w:szCs w:val="20"/>
          <w:lang w:eastAsia="ar-SA"/>
        </w:rPr>
        <w:t xml:space="preserve">, cat. </w:t>
      </w:r>
      <w:proofErr w:type="spellStart"/>
      <w:r w:rsidRPr="00EC0B55">
        <w:rPr>
          <w:szCs w:val="20"/>
          <w:lang w:eastAsia="ar-SA"/>
        </w:rPr>
        <w:t>exp</w:t>
      </w:r>
      <w:proofErr w:type="spellEnd"/>
      <w:r w:rsidRPr="00EC0B55">
        <w:rPr>
          <w:szCs w:val="20"/>
          <w:lang w:eastAsia="ar-SA"/>
        </w:rPr>
        <w:t xml:space="preserve">. </w:t>
      </w:r>
      <w:r w:rsidR="00EC0B55">
        <w:rPr>
          <w:szCs w:val="20"/>
          <w:lang w:eastAsia="ar-SA"/>
        </w:rPr>
        <w:t xml:space="preserve">Villa </w:t>
      </w:r>
      <w:proofErr w:type="spellStart"/>
      <w:r w:rsidR="00EC0B55">
        <w:rPr>
          <w:szCs w:val="20"/>
          <w:lang w:eastAsia="ar-SA"/>
        </w:rPr>
        <w:t>Arson</w:t>
      </w:r>
      <w:proofErr w:type="spellEnd"/>
      <w:r w:rsidR="00EC0B55">
        <w:rPr>
          <w:szCs w:val="20"/>
          <w:lang w:eastAsia="ar-SA"/>
        </w:rPr>
        <w:t>, Nice, 1991, p. 21.</w:t>
      </w:r>
    </w:p>
  </w:footnote>
  <w:footnote w:id="3">
    <w:p w14:paraId="0758445C" w14:textId="32962578" w:rsidR="00312852" w:rsidRPr="00EC0B55" w:rsidRDefault="00312852">
      <w:pPr>
        <w:pStyle w:val="Notedebasdepage"/>
        <w:rPr>
          <w:szCs w:val="20"/>
        </w:rPr>
      </w:pPr>
      <w:r w:rsidRPr="00EC0B55">
        <w:rPr>
          <w:rStyle w:val="Appelnotedebasdep"/>
          <w:szCs w:val="20"/>
        </w:rPr>
        <w:footnoteRef/>
      </w:r>
      <w:r w:rsidRPr="00EC0B55">
        <w:rPr>
          <w:szCs w:val="20"/>
        </w:rPr>
        <w:t xml:space="preserve"> Voir http://www.bernardpiffaretti.com/</w:t>
      </w:r>
    </w:p>
  </w:footnote>
  <w:footnote w:id="4">
    <w:p w14:paraId="0E50CA3C" w14:textId="586CC5B4" w:rsidR="00312852" w:rsidRPr="00EC0B55" w:rsidRDefault="00312852">
      <w:pPr>
        <w:pStyle w:val="Notedebasdepage"/>
        <w:rPr>
          <w:szCs w:val="20"/>
        </w:rPr>
      </w:pPr>
      <w:r w:rsidRPr="00EC0B55">
        <w:rPr>
          <w:rStyle w:val="Appelnotedebasdep"/>
          <w:szCs w:val="20"/>
        </w:rPr>
        <w:footnoteRef/>
      </w:r>
      <w:r w:rsidRPr="00EC0B55">
        <w:rPr>
          <w:szCs w:val="20"/>
        </w:rPr>
        <w:t xml:space="preserve"> </w:t>
      </w:r>
      <w:r w:rsidRPr="00EC0B55">
        <w:rPr>
          <w:szCs w:val="20"/>
          <w:lang w:eastAsia="ar-SA"/>
        </w:rPr>
        <w:t xml:space="preserve">Bernard </w:t>
      </w:r>
      <w:proofErr w:type="spellStart"/>
      <w:r w:rsidRPr="00EC0B55">
        <w:rPr>
          <w:szCs w:val="20"/>
          <w:lang w:eastAsia="ar-SA"/>
        </w:rPr>
        <w:t>Piffaretti</w:t>
      </w:r>
      <w:proofErr w:type="spellEnd"/>
      <w:r w:rsidRPr="00EC0B55">
        <w:rPr>
          <w:szCs w:val="20"/>
          <w:lang w:eastAsia="ar-SA"/>
        </w:rPr>
        <w:t xml:space="preserve">, dans un entretien avec Werner Meyer, </w:t>
      </w:r>
      <w:r w:rsidRPr="00EC0B55">
        <w:rPr>
          <w:szCs w:val="20"/>
        </w:rPr>
        <w:t>in cat. Nice, 1991 (note 2), p. 20.</w:t>
      </w:r>
    </w:p>
  </w:footnote>
  <w:footnote w:id="5">
    <w:p w14:paraId="60BD7808" w14:textId="2850F208" w:rsidR="00312852" w:rsidRPr="00EC0B55" w:rsidRDefault="00312852">
      <w:pPr>
        <w:pStyle w:val="Notedebasdepage"/>
        <w:rPr>
          <w:i/>
          <w:szCs w:val="20"/>
        </w:rPr>
      </w:pPr>
      <w:r w:rsidRPr="00EC0B55">
        <w:rPr>
          <w:rStyle w:val="Appelnotedebasdep"/>
          <w:szCs w:val="20"/>
        </w:rPr>
        <w:footnoteRef/>
      </w:r>
      <w:r w:rsidRPr="00EC0B55">
        <w:rPr>
          <w:szCs w:val="20"/>
        </w:rPr>
        <w:t xml:space="preserve"> </w:t>
      </w:r>
      <w:r w:rsidRPr="00EC0B55">
        <w:rPr>
          <w:i/>
          <w:szCs w:val="20"/>
        </w:rPr>
        <w:t>Ibid.</w:t>
      </w:r>
    </w:p>
  </w:footnote>
  <w:footnote w:id="6">
    <w:p w14:paraId="12C3D71E" w14:textId="72A3E0E8" w:rsidR="00312852" w:rsidRPr="004916A3" w:rsidRDefault="00312852">
      <w:pPr>
        <w:pStyle w:val="Notedebasdepage"/>
        <w:rPr>
          <w:szCs w:val="20"/>
          <w:lang w:val="en-US"/>
        </w:rPr>
      </w:pPr>
      <w:r w:rsidRPr="00EC0B55">
        <w:rPr>
          <w:rStyle w:val="Appelnotedebasdep"/>
          <w:szCs w:val="20"/>
        </w:rPr>
        <w:footnoteRef/>
      </w:r>
      <w:r w:rsidRPr="00EC0B55">
        <w:rPr>
          <w:szCs w:val="20"/>
        </w:rPr>
        <w:t xml:space="preserve"> Jean-Pierre </w:t>
      </w:r>
      <w:proofErr w:type="spellStart"/>
      <w:r w:rsidRPr="00EC0B55">
        <w:rPr>
          <w:szCs w:val="20"/>
        </w:rPr>
        <w:t>Criqui</w:t>
      </w:r>
      <w:proofErr w:type="spellEnd"/>
      <w:r w:rsidRPr="00EC0B55">
        <w:rPr>
          <w:szCs w:val="20"/>
        </w:rPr>
        <w:t xml:space="preserve">, « Les manières », in cat. </w:t>
      </w:r>
      <w:proofErr w:type="spellStart"/>
      <w:r w:rsidRPr="00EC0B55">
        <w:rPr>
          <w:szCs w:val="20"/>
        </w:rPr>
        <w:t>exp</w:t>
      </w:r>
      <w:proofErr w:type="spellEnd"/>
      <w:r w:rsidRPr="00EC0B55">
        <w:rPr>
          <w:szCs w:val="20"/>
        </w:rPr>
        <w:t xml:space="preserve">. Galerie Jean Fournier, Paris, 1990, cité d’après cat. </w:t>
      </w:r>
      <w:r w:rsidRPr="004916A3">
        <w:rPr>
          <w:szCs w:val="20"/>
          <w:lang w:val="en-US"/>
        </w:rPr>
        <w:t>Nice, 1991 (note 2), p. 83.</w:t>
      </w:r>
    </w:p>
  </w:footnote>
  <w:footnote w:id="7">
    <w:p w14:paraId="1D09D586" w14:textId="27904FE0" w:rsidR="00312852" w:rsidRPr="004916A3" w:rsidRDefault="00312852">
      <w:pPr>
        <w:pStyle w:val="Notedebasdepage"/>
        <w:rPr>
          <w:i/>
          <w:szCs w:val="20"/>
          <w:lang w:val="en-US"/>
        </w:rPr>
      </w:pPr>
      <w:r w:rsidRPr="00EC0B55">
        <w:rPr>
          <w:rStyle w:val="Appelnotedebasdep"/>
          <w:szCs w:val="20"/>
        </w:rPr>
        <w:footnoteRef/>
      </w:r>
      <w:r w:rsidRPr="004916A3">
        <w:rPr>
          <w:szCs w:val="20"/>
          <w:lang w:val="en-US"/>
        </w:rPr>
        <w:t xml:space="preserve"> David Foster Wallace, </w:t>
      </w:r>
      <w:r w:rsidRPr="004916A3">
        <w:rPr>
          <w:i/>
          <w:szCs w:val="20"/>
          <w:lang w:val="en-US"/>
        </w:rPr>
        <w:t>Infinite Jest</w:t>
      </w:r>
      <w:r w:rsidRPr="004916A3">
        <w:rPr>
          <w:szCs w:val="20"/>
          <w:lang w:val="en-US"/>
        </w:rPr>
        <w:t xml:space="preserve">, New York, 1996, </w:t>
      </w:r>
      <w:r w:rsidRPr="004916A3">
        <w:rPr>
          <w:i/>
          <w:szCs w:val="20"/>
          <w:lang w:val="en-US"/>
        </w:rPr>
        <w:t>passim.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D16"/>
    <w:rsid w:val="00001E69"/>
    <w:rsid w:val="000079F6"/>
    <w:rsid w:val="00007D04"/>
    <w:rsid w:val="000122A5"/>
    <w:rsid w:val="0001361E"/>
    <w:rsid w:val="000149E1"/>
    <w:rsid w:val="00017096"/>
    <w:rsid w:val="0002045F"/>
    <w:rsid w:val="00021232"/>
    <w:rsid w:val="00024A0D"/>
    <w:rsid w:val="000270D7"/>
    <w:rsid w:val="0003458B"/>
    <w:rsid w:val="00040B7A"/>
    <w:rsid w:val="000412A5"/>
    <w:rsid w:val="00043615"/>
    <w:rsid w:val="0004603E"/>
    <w:rsid w:val="000549BC"/>
    <w:rsid w:val="000767C3"/>
    <w:rsid w:val="000A4BAA"/>
    <w:rsid w:val="000A6C78"/>
    <w:rsid w:val="000B4975"/>
    <w:rsid w:val="000C19DC"/>
    <w:rsid w:val="000C26E0"/>
    <w:rsid w:val="000C2AB2"/>
    <w:rsid w:val="000C7722"/>
    <w:rsid w:val="000D3212"/>
    <w:rsid w:val="000D32C3"/>
    <w:rsid w:val="000E2144"/>
    <w:rsid w:val="000E5A4D"/>
    <w:rsid w:val="000F5643"/>
    <w:rsid w:val="000F772E"/>
    <w:rsid w:val="00101891"/>
    <w:rsid w:val="001119BD"/>
    <w:rsid w:val="0011440D"/>
    <w:rsid w:val="00114F6A"/>
    <w:rsid w:val="0013195A"/>
    <w:rsid w:val="00134FE4"/>
    <w:rsid w:val="001452A2"/>
    <w:rsid w:val="00147EB4"/>
    <w:rsid w:val="00150BD1"/>
    <w:rsid w:val="00152892"/>
    <w:rsid w:val="00153CBB"/>
    <w:rsid w:val="00165B1D"/>
    <w:rsid w:val="00165ED5"/>
    <w:rsid w:val="001727EE"/>
    <w:rsid w:val="00173D16"/>
    <w:rsid w:val="00174B24"/>
    <w:rsid w:val="00174F47"/>
    <w:rsid w:val="001753E7"/>
    <w:rsid w:val="00175513"/>
    <w:rsid w:val="00180EEE"/>
    <w:rsid w:val="00192DFC"/>
    <w:rsid w:val="00196B1C"/>
    <w:rsid w:val="001A123B"/>
    <w:rsid w:val="001A36B9"/>
    <w:rsid w:val="001A4338"/>
    <w:rsid w:val="001A4DA9"/>
    <w:rsid w:val="001A6441"/>
    <w:rsid w:val="001B26C7"/>
    <w:rsid w:val="001C0A25"/>
    <w:rsid w:val="001C0D1E"/>
    <w:rsid w:val="001C3C9E"/>
    <w:rsid w:val="001C5B59"/>
    <w:rsid w:val="001C62FD"/>
    <w:rsid w:val="001C7988"/>
    <w:rsid w:val="001D1491"/>
    <w:rsid w:val="001D3702"/>
    <w:rsid w:val="001E1F2C"/>
    <w:rsid w:val="001E741A"/>
    <w:rsid w:val="001F2425"/>
    <w:rsid w:val="00202317"/>
    <w:rsid w:val="0020272F"/>
    <w:rsid w:val="002151A1"/>
    <w:rsid w:val="00216037"/>
    <w:rsid w:val="00216E57"/>
    <w:rsid w:val="00217012"/>
    <w:rsid w:val="00221AB6"/>
    <w:rsid w:val="002229BD"/>
    <w:rsid w:val="00226915"/>
    <w:rsid w:val="002270FE"/>
    <w:rsid w:val="002315E6"/>
    <w:rsid w:val="002318A6"/>
    <w:rsid w:val="00235454"/>
    <w:rsid w:val="00236B8D"/>
    <w:rsid w:val="0024028E"/>
    <w:rsid w:val="00241DA7"/>
    <w:rsid w:val="00247D42"/>
    <w:rsid w:val="00253D1B"/>
    <w:rsid w:val="00254D05"/>
    <w:rsid w:val="002724DD"/>
    <w:rsid w:val="00275DA8"/>
    <w:rsid w:val="0028115A"/>
    <w:rsid w:val="00282F2C"/>
    <w:rsid w:val="002903E1"/>
    <w:rsid w:val="002929F3"/>
    <w:rsid w:val="00292FDD"/>
    <w:rsid w:val="002A1B49"/>
    <w:rsid w:val="002A6ED3"/>
    <w:rsid w:val="002D1D29"/>
    <w:rsid w:val="002D36F9"/>
    <w:rsid w:val="002D6C05"/>
    <w:rsid w:val="002E1CD6"/>
    <w:rsid w:val="002E1F91"/>
    <w:rsid w:val="002E4482"/>
    <w:rsid w:val="002E5E21"/>
    <w:rsid w:val="002F509E"/>
    <w:rsid w:val="002F670F"/>
    <w:rsid w:val="00302B5B"/>
    <w:rsid w:val="00305F09"/>
    <w:rsid w:val="00312852"/>
    <w:rsid w:val="003273C5"/>
    <w:rsid w:val="00334BDC"/>
    <w:rsid w:val="00337557"/>
    <w:rsid w:val="00341D5E"/>
    <w:rsid w:val="0034358F"/>
    <w:rsid w:val="00344EF0"/>
    <w:rsid w:val="00345F79"/>
    <w:rsid w:val="00346812"/>
    <w:rsid w:val="00361D60"/>
    <w:rsid w:val="00362143"/>
    <w:rsid w:val="003723CC"/>
    <w:rsid w:val="003872E7"/>
    <w:rsid w:val="003947A7"/>
    <w:rsid w:val="00397A70"/>
    <w:rsid w:val="003A135A"/>
    <w:rsid w:val="003A55B0"/>
    <w:rsid w:val="003B12E6"/>
    <w:rsid w:val="003B193E"/>
    <w:rsid w:val="003B31D3"/>
    <w:rsid w:val="003C072B"/>
    <w:rsid w:val="003C2284"/>
    <w:rsid w:val="003C3234"/>
    <w:rsid w:val="003D65DA"/>
    <w:rsid w:val="003E293D"/>
    <w:rsid w:val="003E2A46"/>
    <w:rsid w:val="003E3770"/>
    <w:rsid w:val="003E7C6C"/>
    <w:rsid w:val="003F36AC"/>
    <w:rsid w:val="003F58FB"/>
    <w:rsid w:val="004017E1"/>
    <w:rsid w:val="0040202B"/>
    <w:rsid w:val="0040300D"/>
    <w:rsid w:val="004078DE"/>
    <w:rsid w:val="00410329"/>
    <w:rsid w:val="004115BB"/>
    <w:rsid w:val="00414128"/>
    <w:rsid w:val="004170F5"/>
    <w:rsid w:val="00420108"/>
    <w:rsid w:val="00422F31"/>
    <w:rsid w:val="0043339E"/>
    <w:rsid w:val="00442637"/>
    <w:rsid w:val="0045506D"/>
    <w:rsid w:val="004560B8"/>
    <w:rsid w:val="00461B60"/>
    <w:rsid w:val="00467571"/>
    <w:rsid w:val="00472CCD"/>
    <w:rsid w:val="004738A6"/>
    <w:rsid w:val="00482521"/>
    <w:rsid w:val="00487499"/>
    <w:rsid w:val="004916A3"/>
    <w:rsid w:val="0049255C"/>
    <w:rsid w:val="004A6848"/>
    <w:rsid w:val="004A6DDF"/>
    <w:rsid w:val="004B1787"/>
    <w:rsid w:val="004B49F6"/>
    <w:rsid w:val="004B4FE1"/>
    <w:rsid w:val="004B5112"/>
    <w:rsid w:val="004D1F12"/>
    <w:rsid w:val="004D2F9D"/>
    <w:rsid w:val="004E2B97"/>
    <w:rsid w:val="004E75EF"/>
    <w:rsid w:val="004E783E"/>
    <w:rsid w:val="004F4A34"/>
    <w:rsid w:val="0050378B"/>
    <w:rsid w:val="0051759D"/>
    <w:rsid w:val="00517DE2"/>
    <w:rsid w:val="00525D09"/>
    <w:rsid w:val="005274AF"/>
    <w:rsid w:val="00531A55"/>
    <w:rsid w:val="0053332D"/>
    <w:rsid w:val="0055174F"/>
    <w:rsid w:val="00557C9B"/>
    <w:rsid w:val="00563D39"/>
    <w:rsid w:val="0057082E"/>
    <w:rsid w:val="005712B9"/>
    <w:rsid w:val="00592452"/>
    <w:rsid w:val="00594614"/>
    <w:rsid w:val="00595165"/>
    <w:rsid w:val="005955B1"/>
    <w:rsid w:val="005A6B6C"/>
    <w:rsid w:val="005B700B"/>
    <w:rsid w:val="005B7D0F"/>
    <w:rsid w:val="005C74AE"/>
    <w:rsid w:val="005D1D89"/>
    <w:rsid w:val="005D29B5"/>
    <w:rsid w:val="005D4765"/>
    <w:rsid w:val="005D563E"/>
    <w:rsid w:val="005E26B6"/>
    <w:rsid w:val="005E7A22"/>
    <w:rsid w:val="005F39A5"/>
    <w:rsid w:val="005F3AA0"/>
    <w:rsid w:val="005F47C7"/>
    <w:rsid w:val="005F5FC0"/>
    <w:rsid w:val="006037E9"/>
    <w:rsid w:val="00605579"/>
    <w:rsid w:val="00613F92"/>
    <w:rsid w:val="00614B3A"/>
    <w:rsid w:val="006352AE"/>
    <w:rsid w:val="0063551C"/>
    <w:rsid w:val="00635729"/>
    <w:rsid w:val="00653DE6"/>
    <w:rsid w:val="0065470A"/>
    <w:rsid w:val="00661337"/>
    <w:rsid w:val="006634CF"/>
    <w:rsid w:val="00665463"/>
    <w:rsid w:val="00666A41"/>
    <w:rsid w:val="00671207"/>
    <w:rsid w:val="0067475D"/>
    <w:rsid w:val="006760BB"/>
    <w:rsid w:val="00697DB2"/>
    <w:rsid w:val="006A3795"/>
    <w:rsid w:val="006A47AC"/>
    <w:rsid w:val="006A70BB"/>
    <w:rsid w:val="006B0C7C"/>
    <w:rsid w:val="006B1B33"/>
    <w:rsid w:val="006C1704"/>
    <w:rsid w:val="006C2000"/>
    <w:rsid w:val="006C5E04"/>
    <w:rsid w:val="006C6F91"/>
    <w:rsid w:val="006C7A03"/>
    <w:rsid w:val="006D0155"/>
    <w:rsid w:val="006F246D"/>
    <w:rsid w:val="006F2944"/>
    <w:rsid w:val="006F3A1C"/>
    <w:rsid w:val="00703DFC"/>
    <w:rsid w:val="007055EF"/>
    <w:rsid w:val="0070677E"/>
    <w:rsid w:val="00714A44"/>
    <w:rsid w:val="00714C81"/>
    <w:rsid w:val="007150AA"/>
    <w:rsid w:val="00716B25"/>
    <w:rsid w:val="00720676"/>
    <w:rsid w:val="00732807"/>
    <w:rsid w:val="0073362F"/>
    <w:rsid w:val="00736B0D"/>
    <w:rsid w:val="00740308"/>
    <w:rsid w:val="00741368"/>
    <w:rsid w:val="007430E6"/>
    <w:rsid w:val="0074495F"/>
    <w:rsid w:val="00751937"/>
    <w:rsid w:val="007548F5"/>
    <w:rsid w:val="00755499"/>
    <w:rsid w:val="0076090C"/>
    <w:rsid w:val="007613E8"/>
    <w:rsid w:val="00762891"/>
    <w:rsid w:val="0076483A"/>
    <w:rsid w:val="007676D5"/>
    <w:rsid w:val="00781B85"/>
    <w:rsid w:val="00782EE5"/>
    <w:rsid w:val="0079521D"/>
    <w:rsid w:val="007A2D73"/>
    <w:rsid w:val="007A78EA"/>
    <w:rsid w:val="007B0CDE"/>
    <w:rsid w:val="007B689D"/>
    <w:rsid w:val="007B7973"/>
    <w:rsid w:val="007C0B8A"/>
    <w:rsid w:val="007C4A9A"/>
    <w:rsid w:val="007D7E2F"/>
    <w:rsid w:val="007E13B8"/>
    <w:rsid w:val="007E2F7D"/>
    <w:rsid w:val="008041FC"/>
    <w:rsid w:val="008066E2"/>
    <w:rsid w:val="00811DB3"/>
    <w:rsid w:val="00815340"/>
    <w:rsid w:val="008265E3"/>
    <w:rsid w:val="008301A5"/>
    <w:rsid w:val="00833E65"/>
    <w:rsid w:val="00837000"/>
    <w:rsid w:val="00840487"/>
    <w:rsid w:val="0084449D"/>
    <w:rsid w:val="008471A8"/>
    <w:rsid w:val="008520FC"/>
    <w:rsid w:val="00853141"/>
    <w:rsid w:val="00855408"/>
    <w:rsid w:val="00860BF5"/>
    <w:rsid w:val="008639F6"/>
    <w:rsid w:val="0087017C"/>
    <w:rsid w:val="00874F0D"/>
    <w:rsid w:val="00875D3A"/>
    <w:rsid w:val="00875F16"/>
    <w:rsid w:val="00881FF2"/>
    <w:rsid w:val="0089189E"/>
    <w:rsid w:val="008926F3"/>
    <w:rsid w:val="008A2866"/>
    <w:rsid w:val="008A623F"/>
    <w:rsid w:val="008A6FCC"/>
    <w:rsid w:val="008B5116"/>
    <w:rsid w:val="008B715B"/>
    <w:rsid w:val="008C16B3"/>
    <w:rsid w:val="008C5538"/>
    <w:rsid w:val="008D01B3"/>
    <w:rsid w:val="008D739C"/>
    <w:rsid w:val="009011B7"/>
    <w:rsid w:val="0090451E"/>
    <w:rsid w:val="00917BC8"/>
    <w:rsid w:val="00920EC5"/>
    <w:rsid w:val="0092531D"/>
    <w:rsid w:val="00925F98"/>
    <w:rsid w:val="00935A1B"/>
    <w:rsid w:val="00944250"/>
    <w:rsid w:val="00944572"/>
    <w:rsid w:val="00962F9F"/>
    <w:rsid w:val="00972D4C"/>
    <w:rsid w:val="00975A8D"/>
    <w:rsid w:val="00982326"/>
    <w:rsid w:val="00983C36"/>
    <w:rsid w:val="00983F3E"/>
    <w:rsid w:val="0098662B"/>
    <w:rsid w:val="009878D5"/>
    <w:rsid w:val="00990AE7"/>
    <w:rsid w:val="009930D4"/>
    <w:rsid w:val="0099417A"/>
    <w:rsid w:val="00997B45"/>
    <w:rsid w:val="009B63DF"/>
    <w:rsid w:val="009B6D04"/>
    <w:rsid w:val="009C1E5D"/>
    <w:rsid w:val="009C1FBD"/>
    <w:rsid w:val="009C52DA"/>
    <w:rsid w:val="009C6155"/>
    <w:rsid w:val="009D2E2B"/>
    <w:rsid w:val="009D574E"/>
    <w:rsid w:val="009E4664"/>
    <w:rsid w:val="009E6C11"/>
    <w:rsid w:val="009E6D06"/>
    <w:rsid w:val="009F17AD"/>
    <w:rsid w:val="009F76B9"/>
    <w:rsid w:val="00A1174F"/>
    <w:rsid w:val="00A123C8"/>
    <w:rsid w:val="00A23250"/>
    <w:rsid w:val="00A23C85"/>
    <w:rsid w:val="00A345F0"/>
    <w:rsid w:val="00A41B59"/>
    <w:rsid w:val="00A43352"/>
    <w:rsid w:val="00A464CA"/>
    <w:rsid w:val="00A504D2"/>
    <w:rsid w:val="00A53715"/>
    <w:rsid w:val="00A54705"/>
    <w:rsid w:val="00A57FB6"/>
    <w:rsid w:val="00A676A1"/>
    <w:rsid w:val="00A738BE"/>
    <w:rsid w:val="00A74D12"/>
    <w:rsid w:val="00A77145"/>
    <w:rsid w:val="00A77359"/>
    <w:rsid w:val="00A93CD9"/>
    <w:rsid w:val="00AA0FB0"/>
    <w:rsid w:val="00AA51DB"/>
    <w:rsid w:val="00AA7698"/>
    <w:rsid w:val="00AB44B7"/>
    <w:rsid w:val="00AC3219"/>
    <w:rsid w:val="00AC3740"/>
    <w:rsid w:val="00AC44E9"/>
    <w:rsid w:val="00AC5537"/>
    <w:rsid w:val="00AC6B88"/>
    <w:rsid w:val="00AD099C"/>
    <w:rsid w:val="00AD6EAB"/>
    <w:rsid w:val="00AE1726"/>
    <w:rsid w:val="00AF11BB"/>
    <w:rsid w:val="00AF5BA3"/>
    <w:rsid w:val="00AF7B48"/>
    <w:rsid w:val="00B0048A"/>
    <w:rsid w:val="00B10684"/>
    <w:rsid w:val="00B1071D"/>
    <w:rsid w:val="00B13D48"/>
    <w:rsid w:val="00B25E2D"/>
    <w:rsid w:val="00B37F4F"/>
    <w:rsid w:val="00B40772"/>
    <w:rsid w:val="00B467AB"/>
    <w:rsid w:val="00B51D7B"/>
    <w:rsid w:val="00B563F6"/>
    <w:rsid w:val="00B8230B"/>
    <w:rsid w:val="00B94BA5"/>
    <w:rsid w:val="00BA2D75"/>
    <w:rsid w:val="00BA6B8B"/>
    <w:rsid w:val="00BB77A7"/>
    <w:rsid w:val="00BC0E1F"/>
    <w:rsid w:val="00BC3760"/>
    <w:rsid w:val="00BC645E"/>
    <w:rsid w:val="00BC698A"/>
    <w:rsid w:val="00BD1D01"/>
    <w:rsid w:val="00BD37B8"/>
    <w:rsid w:val="00BD7750"/>
    <w:rsid w:val="00BE2AC7"/>
    <w:rsid w:val="00BE48B6"/>
    <w:rsid w:val="00BE5510"/>
    <w:rsid w:val="00BE5DA5"/>
    <w:rsid w:val="00BF5ABB"/>
    <w:rsid w:val="00C03057"/>
    <w:rsid w:val="00C04004"/>
    <w:rsid w:val="00C10ABE"/>
    <w:rsid w:val="00C11911"/>
    <w:rsid w:val="00C12CC3"/>
    <w:rsid w:val="00C2161A"/>
    <w:rsid w:val="00C30FDA"/>
    <w:rsid w:val="00C362B9"/>
    <w:rsid w:val="00C55D65"/>
    <w:rsid w:val="00C55DED"/>
    <w:rsid w:val="00C63158"/>
    <w:rsid w:val="00C67234"/>
    <w:rsid w:val="00C67E62"/>
    <w:rsid w:val="00C73C61"/>
    <w:rsid w:val="00C75797"/>
    <w:rsid w:val="00C75F36"/>
    <w:rsid w:val="00C813AC"/>
    <w:rsid w:val="00C86520"/>
    <w:rsid w:val="00C86BB1"/>
    <w:rsid w:val="00C9241D"/>
    <w:rsid w:val="00C94779"/>
    <w:rsid w:val="00C9497C"/>
    <w:rsid w:val="00CA0D8F"/>
    <w:rsid w:val="00CA5FF9"/>
    <w:rsid w:val="00CA6AE8"/>
    <w:rsid w:val="00CB2A12"/>
    <w:rsid w:val="00CC154C"/>
    <w:rsid w:val="00CC2AB6"/>
    <w:rsid w:val="00CC3936"/>
    <w:rsid w:val="00CC53C3"/>
    <w:rsid w:val="00CC7E26"/>
    <w:rsid w:val="00CD242F"/>
    <w:rsid w:val="00CD7A2F"/>
    <w:rsid w:val="00CE0FD7"/>
    <w:rsid w:val="00CE683A"/>
    <w:rsid w:val="00CF6257"/>
    <w:rsid w:val="00D038B6"/>
    <w:rsid w:val="00D03BCF"/>
    <w:rsid w:val="00D06D72"/>
    <w:rsid w:val="00D14F2E"/>
    <w:rsid w:val="00D17B8A"/>
    <w:rsid w:val="00D22990"/>
    <w:rsid w:val="00D2635B"/>
    <w:rsid w:val="00D26B37"/>
    <w:rsid w:val="00D303A5"/>
    <w:rsid w:val="00D31F74"/>
    <w:rsid w:val="00D36013"/>
    <w:rsid w:val="00D408BA"/>
    <w:rsid w:val="00D44B30"/>
    <w:rsid w:val="00D50444"/>
    <w:rsid w:val="00D511B0"/>
    <w:rsid w:val="00D520EB"/>
    <w:rsid w:val="00D714D4"/>
    <w:rsid w:val="00D75BB1"/>
    <w:rsid w:val="00D834DC"/>
    <w:rsid w:val="00D83FAB"/>
    <w:rsid w:val="00D926D1"/>
    <w:rsid w:val="00D92794"/>
    <w:rsid w:val="00D96331"/>
    <w:rsid w:val="00D97193"/>
    <w:rsid w:val="00DC1364"/>
    <w:rsid w:val="00DD003B"/>
    <w:rsid w:val="00DD7C91"/>
    <w:rsid w:val="00DE1C95"/>
    <w:rsid w:val="00DE4D7A"/>
    <w:rsid w:val="00DE6031"/>
    <w:rsid w:val="00DF0355"/>
    <w:rsid w:val="00E14C3A"/>
    <w:rsid w:val="00E1571E"/>
    <w:rsid w:val="00E16F75"/>
    <w:rsid w:val="00E2027C"/>
    <w:rsid w:val="00E20D67"/>
    <w:rsid w:val="00E2342A"/>
    <w:rsid w:val="00E244AB"/>
    <w:rsid w:val="00E46020"/>
    <w:rsid w:val="00E55A2A"/>
    <w:rsid w:val="00E56655"/>
    <w:rsid w:val="00E567F9"/>
    <w:rsid w:val="00E6017C"/>
    <w:rsid w:val="00E6329E"/>
    <w:rsid w:val="00E6739E"/>
    <w:rsid w:val="00E673E6"/>
    <w:rsid w:val="00E71A65"/>
    <w:rsid w:val="00E7570F"/>
    <w:rsid w:val="00E808DD"/>
    <w:rsid w:val="00E82404"/>
    <w:rsid w:val="00E85236"/>
    <w:rsid w:val="00E87274"/>
    <w:rsid w:val="00E90941"/>
    <w:rsid w:val="00E943C1"/>
    <w:rsid w:val="00E9592E"/>
    <w:rsid w:val="00E97AA6"/>
    <w:rsid w:val="00EA46D2"/>
    <w:rsid w:val="00EA6722"/>
    <w:rsid w:val="00EB0876"/>
    <w:rsid w:val="00EB3A01"/>
    <w:rsid w:val="00EB6743"/>
    <w:rsid w:val="00EC083C"/>
    <w:rsid w:val="00EC0B55"/>
    <w:rsid w:val="00EC75D4"/>
    <w:rsid w:val="00EE5AAB"/>
    <w:rsid w:val="00EF13B9"/>
    <w:rsid w:val="00EF5B02"/>
    <w:rsid w:val="00F13FFF"/>
    <w:rsid w:val="00F204AA"/>
    <w:rsid w:val="00F20DA1"/>
    <w:rsid w:val="00F30BAA"/>
    <w:rsid w:val="00F42292"/>
    <w:rsid w:val="00F447D2"/>
    <w:rsid w:val="00F613A0"/>
    <w:rsid w:val="00F61516"/>
    <w:rsid w:val="00F620E9"/>
    <w:rsid w:val="00F72C85"/>
    <w:rsid w:val="00F75F36"/>
    <w:rsid w:val="00F77C6E"/>
    <w:rsid w:val="00F83A02"/>
    <w:rsid w:val="00F83F3A"/>
    <w:rsid w:val="00F842EB"/>
    <w:rsid w:val="00F86531"/>
    <w:rsid w:val="00F86E27"/>
    <w:rsid w:val="00F90A72"/>
    <w:rsid w:val="00F910DB"/>
    <w:rsid w:val="00FA38C6"/>
    <w:rsid w:val="00FA4254"/>
    <w:rsid w:val="00FA6B8E"/>
    <w:rsid w:val="00FB1856"/>
    <w:rsid w:val="00FB25AD"/>
    <w:rsid w:val="00FB6F11"/>
    <w:rsid w:val="00FD3A92"/>
    <w:rsid w:val="00FD5837"/>
    <w:rsid w:val="00FE009D"/>
    <w:rsid w:val="00FE2D34"/>
    <w:rsid w:val="00FF0D5E"/>
    <w:rsid w:val="00FF71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52D2AD5"/>
  <w14:defaultImageDpi w14:val="300"/>
  <w15:docId w15:val="{5806D99D-F4B0-A545-B772-B2AD76C6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5DA"/>
    <w:pPr>
      <w:spacing w:line="360" w:lineRule="auto"/>
      <w:ind w:firstLine="567"/>
    </w:pPr>
    <w:rPr>
      <w:rFonts w:ascii="Times" w:eastAsiaTheme="minorHAnsi" w:hAnsi="Times" w:cstheme="minorBidi"/>
      <w:sz w:val="22"/>
      <w:szCs w:val="24"/>
      <w:lang w:eastAsia="en-US"/>
    </w:rPr>
  </w:style>
  <w:style w:type="paragraph" w:styleId="Titre2">
    <w:name w:val="heading 2"/>
    <w:basedOn w:val="Normal"/>
    <w:next w:val="Normal"/>
    <w:qFormat/>
    <w:rsid w:val="00453AB3"/>
    <w:pPr>
      <w:keepNext/>
      <w:spacing w:before="240" w:after="60"/>
      <w:outlineLvl w:val="1"/>
    </w:pPr>
    <w:rPr>
      <w:rFonts w:ascii="Arial" w:hAnsi="Arial"/>
      <w:b/>
      <w: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
    <w:name w:val="inter"/>
    <w:basedOn w:val="Titre2"/>
    <w:rsid w:val="00453AB3"/>
    <w:pPr>
      <w:spacing w:before="0" w:after="0"/>
    </w:pPr>
    <w:rPr>
      <w:rFonts w:ascii="Times" w:hAnsi="Times"/>
      <w:b w:val="0"/>
      <w:sz w:val="22"/>
      <w:szCs w:val="20"/>
    </w:rPr>
  </w:style>
  <w:style w:type="paragraph" w:styleId="Notedebasdepage">
    <w:name w:val="footnote text"/>
    <w:basedOn w:val="Normal"/>
    <w:semiHidden/>
    <w:rsid w:val="00C333A0"/>
    <w:pPr>
      <w:ind w:firstLine="0"/>
    </w:pPr>
    <w:rPr>
      <w:rFonts w:ascii="Arial" w:hAnsi="Arial"/>
      <w:sz w:val="20"/>
    </w:rPr>
  </w:style>
  <w:style w:type="paragraph" w:styleId="Notedefin">
    <w:name w:val="endnote text"/>
    <w:basedOn w:val="Normal"/>
    <w:semiHidden/>
    <w:rsid w:val="00915DB2"/>
    <w:pPr>
      <w:spacing w:line="240" w:lineRule="auto"/>
      <w:ind w:firstLine="0"/>
    </w:pPr>
    <w:rPr>
      <w:rFonts w:ascii="Arial" w:hAnsi="Arial"/>
      <w:sz w:val="20"/>
      <w:szCs w:val="20"/>
      <w:lang w:eastAsia="de-DE"/>
    </w:rPr>
  </w:style>
  <w:style w:type="paragraph" w:styleId="Textedebulles">
    <w:name w:val="Balloon Text"/>
    <w:basedOn w:val="Normal"/>
    <w:link w:val="TextedebullesCar"/>
    <w:uiPriority w:val="99"/>
    <w:semiHidden/>
    <w:unhideWhenUsed/>
    <w:rsid w:val="007C4A9A"/>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4A9A"/>
    <w:rPr>
      <w:rFonts w:ascii="Lucida Grande" w:eastAsiaTheme="minorHAnsi" w:hAnsi="Lucida Grande" w:cs="Lucida Grande"/>
      <w:sz w:val="18"/>
      <w:szCs w:val="18"/>
      <w:lang w:eastAsia="en-US"/>
    </w:rPr>
  </w:style>
  <w:style w:type="character" w:styleId="Appelnotedebasdep">
    <w:name w:val="footnote reference"/>
    <w:basedOn w:val="Policepardfaut"/>
    <w:uiPriority w:val="99"/>
    <w:unhideWhenUsed/>
    <w:rsid w:val="002318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5</Pages>
  <Words>2203</Words>
  <Characters>12118</Characters>
  <Application>Microsoft Office Word</Application>
  <DocSecurity>0</DocSecurity>
  <Lines>100</Lines>
  <Paragraphs>28</Paragraphs>
  <ScaleCrop>false</ScaleCrop>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torrent</dc:creator>
  <cp:keywords/>
  <dc:description/>
  <cp:lastModifiedBy>Françoise Parraud</cp:lastModifiedBy>
  <cp:revision>24</cp:revision>
  <cp:lastPrinted>2015-03-11T09:56:00Z</cp:lastPrinted>
  <dcterms:created xsi:type="dcterms:W3CDTF">2015-03-05T06:40:00Z</dcterms:created>
  <dcterms:modified xsi:type="dcterms:W3CDTF">2019-06-12T13:44:00Z</dcterms:modified>
</cp:coreProperties>
</file>